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10"/>
          <w:szCs w:val="10"/>
        </w:rPr>
      </w:pPr>
    </w:p>
    <w:p>
      <w:pPr>
        <w:spacing w:line="52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金寨现代产业园六期棚改（二期）项目</w:t>
      </w:r>
    </w:p>
    <w:p>
      <w:pPr>
        <w:spacing w:line="52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收益和融资平衡方案</w:t>
      </w:r>
    </w:p>
    <w:p>
      <w:pPr>
        <w:rPr>
          <w:rFonts w:ascii="Arial" w:hAnsi="Arial" w:cs="Arial"/>
          <w:sz w:val="24"/>
          <w:szCs w:val="24"/>
        </w:rPr>
      </w:pPr>
    </w:p>
    <w:p>
      <w:pPr>
        <w:spacing w:before="156" w:beforeLines="50" w:after="156" w:afterLines="50" w:line="360" w:lineRule="auto"/>
        <w:ind w:firstLine="482" w:firstLineChars="20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一、本期债券应付本息情况</w:t>
      </w:r>
    </w:p>
    <w:p>
      <w:pPr>
        <w:spacing w:line="360" w:lineRule="auto"/>
        <w:ind w:firstLine="480" w:firstLineChars="200"/>
        <w:rPr>
          <w:rFonts w:hint="eastAsia" w:ascii="Arial" w:hAnsi="Arial" w:eastAsia="宋体" w:cs="Arial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本期棚改专项债拟发行规模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88</w:t>
      </w:r>
      <w:r>
        <w:rPr>
          <w:rFonts w:ascii="Times New Roman" w:hAnsi="Times New Roman" w:eastAsia="宋体" w:cs="Times New Roman"/>
          <w:sz w:val="24"/>
          <w:szCs w:val="24"/>
        </w:rPr>
        <w:t>,000.00万元</w:t>
      </w:r>
      <w:r>
        <w:rPr>
          <w:rFonts w:hint="eastAsia" w:ascii="Times New Roman" w:hAnsi="Times New Roman" w:eastAsia="宋体" w:cs="Times New Roman"/>
          <w:sz w:val="24"/>
          <w:szCs w:val="24"/>
        </w:rPr>
        <w:t>（2</w:t>
      </w:r>
      <w:r>
        <w:rPr>
          <w:rFonts w:ascii="Times New Roman" w:hAnsi="Times New Roman" w:eastAsia="宋体" w:cs="Times New Roman"/>
          <w:sz w:val="24"/>
          <w:szCs w:val="24"/>
        </w:rPr>
        <w:t>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宋体" w:cs="Times New Roman"/>
          <w:sz w:val="24"/>
          <w:szCs w:val="24"/>
        </w:rPr>
        <w:t>年已发行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31,4</w:t>
      </w:r>
      <w:r>
        <w:rPr>
          <w:rFonts w:ascii="Times New Roman" w:hAnsi="Times New Roman" w:eastAsia="宋体" w:cs="Times New Roman"/>
          <w:sz w:val="24"/>
          <w:szCs w:val="24"/>
        </w:rPr>
        <w:t>00.00万元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利率3.44%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年发行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15,000.00</w:t>
      </w:r>
      <w:r>
        <w:rPr>
          <w:rFonts w:ascii="Times New Roman" w:hAnsi="Times New Roman" w:eastAsia="宋体" w:cs="Times New Roman"/>
          <w:sz w:val="24"/>
          <w:szCs w:val="24"/>
        </w:rPr>
        <w:t>万元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利率3.13%、</w:t>
      </w: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年发行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14,000.00</w:t>
      </w:r>
      <w:r>
        <w:rPr>
          <w:rFonts w:ascii="Times New Roman" w:hAnsi="Times New Roman" w:eastAsia="宋体" w:cs="Times New Roman"/>
          <w:sz w:val="24"/>
          <w:szCs w:val="24"/>
        </w:rPr>
        <w:t>万元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利率2.93%；2023年拟发行27,600.00万元，</w:t>
      </w:r>
      <w:r>
        <w:rPr>
          <w:rFonts w:hint="eastAsia" w:ascii="Times New Roman" w:hAnsi="Times New Roman" w:eastAsia="宋体" w:cs="Times New Roman"/>
          <w:sz w:val="24"/>
          <w:szCs w:val="24"/>
        </w:rPr>
        <w:t>其中本批次拟发行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t>,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 w:cs="Times New Roman"/>
          <w:sz w:val="24"/>
          <w:szCs w:val="24"/>
        </w:rPr>
        <w:t>00.00万元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，募集资金全部用于</w:t>
      </w:r>
      <w:r>
        <w:rPr>
          <w:rFonts w:hint="eastAsia" w:ascii="Times New Roman" w:hAnsi="Times New Roman" w:eastAsia="宋体" w:cs="Times New Roman"/>
          <w:sz w:val="24"/>
          <w:szCs w:val="24"/>
        </w:rPr>
        <w:t>金寨现代产业园六期棚改（二期）</w:t>
      </w:r>
      <w:r>
        <w:rPr>
          <w:rFonts w:ascii="Times New Roman" w:hAnsi="Times New Roman" w:eastAsia="宋体" w:cs="Times New Roman"/>
          <w:sz w:val="24"/>
          <w:szCs w:val="24"/>
        </w:rPr>
        <w:t>。债券期限为7年，</w:t>
      </w:r>
      <w:r>
        <w:rPr>
          <w:rFonts w:hint="eastAsia" w:ascii="Times New Roman" w:hAnsi="Times New Roman" w:eastAsia="宋体" w:cs="Times New Roman"/>
          <w:sz w:val="24"/>
          <w:szCs w:val="24"/>
        </w:rPr>
        <w:t>已发行债券利率按实际发行利率测算，拟发行债券</w:t>
      </w:r>
      <w:r>
        <w:rPr>
          <w:rFonts w:ascii="Times New Roman" w:hAnsi="Times New Roman" w:eastAsia="宋体" w:cs="Times New Roman"/>
          <w:sz w:val="24"/>
          <w:szCs w:val="24"/>
        </w:rPr>
        <w:t>票面年利率</w:t>
      </w:r>
      <w:r>
        <w:rPr>
          <w:rFonts w:hint="eastAsia" w:ascii="Times New Roman" w:hAnsi="Times New Roman" w:eastAsia="宋体" w:cs="Times New Roman"/>
          <w:sz w:val="24"/>
          <w:szCs w:val="24"/>
        </w:rPr>
        <w:t>参考同类债券利率</w:t>
      </w:r>
      <w:r>
        <w:rPr>
          <w:rFonts w:ascii="Times New Roman" w:hAnsi="Times New Roman" w:eastAsia="宋体" w:cs="Times New Roman"/>
          <w:sz w:val="24"/>
          <w:szCs w:val="24"/>
        </w:rPr>
        <w:t>为3.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05</w:t>
      </w:r>
      <w:r>
        <w:rPr>
          <w:rFonts w:ascii="Times New Roman" w:hAnsi="Times New Roman" w:eastAsia="宋体" w:cs="Times New Roman"/>
          <w:sz w:val="24"/>
          <w:szCs w:val="24"/>
        </w:rPr>
        <w:t>%，在债券存续期间每年年末支付债券利息，到期一次还本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ind w:firstLine="480" w:firstLineChars="200"/>
        <w:jc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2020年发行31,400万元还本付息情况</w:t>
      </w: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>单位：万元</w:t>
      </w:r>
    </w:p>
    <w:tbl>
      <w:tblPr>
        <w:tblStyle w:val="6"/>
        <w:tblW w:w="5223" w:type="pct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92"/>
        <w:gridCol w:w="1193"/>
        <w:gridCol w:w="1193"/>
        <w:gridCol w:w="1193"/>
        <w:gridCol w:w="866"/>
        <w:gridCol w:w="1182"/>
        <w:gridCol w:w="11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期初本金金额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本期增加本金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本期偿还本金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期末本金金额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融资利率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应付利息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应付本期合计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3.44%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3.44%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3.44%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2023年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3.44%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3.44%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3.44%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3.44%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2027年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3.44%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32,480.16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合计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- 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7,561.12 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38,961.12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80" w:firstLineChars="200"/>
        <w:jc w:val="center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2021年发行15,000万元还本付息情况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right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单位：万元</w:t>
      </w:r>
    </w:p>
    <w:tbl>
      <w:tblPr>
        <w:tblStyle w:val="6"/>
        <w:tblW w:w="8892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200"/>
        <w:gridCol w:w="1164"/>
        <w:gridCol w:w="1224"/>
        <w:gridCol w:w="1164"/>
        <w:gridCol w:w="900"/>
        <w:gridCol w:w="1140"/>
        <w:gridCol w:w="11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tblHeader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期初本金金额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本期增加本金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本期偿还本金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期末本金金额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融资利率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应付利息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应付本期合计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2026年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2027年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2028年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469.50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15,469.50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3,286.50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18,286.50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default" w:ascii="仿宋" w:hAnsi="仿宋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  <w:t>2022年发行14,000万元还本付息情况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right"/>
        <w:textAlignment w:val="auto"/>
        <w:rPr>
          <w:rFonts w:hint="eastAsia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单位：万元</w:t>
      </w:r>
    </w:p>
    <w:tbl>
      <w:tblPr>
        <w:tblStyle w:val="6"/>
        <w:tblW w:w="8892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200"/>
        <w:gridCol w:w="1164"/>
        <w:gridCol w:w="1224"/>
        <w:gridCol w:w="1164"/>
        <w:gridCol w:w="900"/>
        <w:gridCol w:w="1140"/>
        <w:gridCol w:w="11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tblHeader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年度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期初本金金额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本期增加本金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本期偿还本金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期末本金金额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融资利率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应付利息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应付本期合计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2.93%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2.93%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2024年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2.93%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2.93%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2026年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2.93%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2027年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2.93%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2028年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2.93%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2.93%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410.20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14,410.20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14,000.00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2,871.40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16,871.40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  <w:t>本次拟发行发行19,000万元还本付息情况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right"/>
        <w:textAlignment w:val="auto"/>
        <w:rPr>
          <w:rFonts w:hint="eastAsia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单位：万元</w:t>
      </w:r>
    </w:p>
    <w:tbl>
      <w:tblPr>
        <w:tblStyle w:val="6"/>
        <w:tblW w:w="5216" w:type="pct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203"/>
        <w:gridCol w:w="1203"/>
        <w:gridCol w:w="1203"/>
        <w:gridCol w:w="1203"/>
        <w:gridCol w:w="875"/>
        <w:gridCol w:w="1099"/>
        <w:gridCol w:w="11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tblHeader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年度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期初本金金额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本期增加本金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本期偿还本金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期末本金金额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融资利率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应付利息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应付本期合计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2023年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2024年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2025年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2026年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2027年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2028年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2029年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年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579.50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19,579.50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19,000.00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4,056.50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23,056.50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  <w:t>预计未来发行债券还本付息情况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right"/>
        <w:textAlignment w:val="auto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单位：万元</w:t>
      </w:r>
    </w:p>
    <w:tbl>
      <w:tblPr>
        <w:tblStyle w:val="6"/>
        <w:tblW w:w="5209" w:type="pct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204"/>
        <w:gridCol w:w="1204"/>
        <w:gridCol w:w="1204"/>
        <w:gridCol w:w="1204"/>
        <w:gridCol w:w="874"/>
        <w:gridCol w:w="1096"/>
        <w:gridCol w:w="11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tblHeader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年度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期初本金金额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本期增加本金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本期偿还本金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期末本金金额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融资利率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应付利息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应付本期合计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2024年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2026年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2027年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2028年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2029年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3.05%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262.30 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8,862.30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1,836.10 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10,436.10 </w:t>
            </w:r>
          </w:p>
        </w:tc>
      </w:tr>
    </w:tbl>
    <w:p>
      <w:pPr>
        <w:spacing w:before="156" w:beforeLines="50" w:after="156" w:afterLines="50" w:line="360" w:lineRule="auto"/>
        <w:ind w:firstLine="482" w:firstLineChars="20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二、拟出让土地情况</w:t>
      </w:r>
    </w:p>
    <w:p>
      <w:pPr>
        <w:spacing w:before="156" w:beforeLines="50" w:after="156" w:afterLines="50"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金寨现代产业园六期棚改（二期）项目腾出地未来五年土地供应计划情况如下：</w:t>
      </w:r>
    </w:p>
    <w:tbl>
      <w:tblPr>
        <w:tblStyle w:val="6"/>
        <w:tblW w:w="898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6"/>
        <w:gridCol w:w="1847"/>
        <w:gridCol w:w="1559"/>
        <w:gridCol w:w="1843"/>
        <w:gridCol w:w="1276"/>
        <w:gridCol w:w="1417"/>
        <w:gridCol w:w="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4" w:hRule="atLeast"/>
          <w:jc w:val="center"/>
        </w:trPr>
        <w:tc>
          <w:tcPr>
            <w:tcW w:w="47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84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棚户区改造项目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拟出让地块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拟出让地块四至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范围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拟出让土地面积（亩）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拟出让土地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面积（㎡）</w:t>
            </w:r>
          </w:p>
        </w:tc>
        <w:tc>
          <w:tcPr>
            <w:tcW w:w="56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土地性质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1" w:hRule="atLeast"/>
          <w:jc w:val="center"/>
        </w:trPr>
        <w:tc>
          <w:tcPr>
            <w:tcW w:w="476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847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金寨现代产业园六期棚改（二期）项目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金寨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现代产业园六期棚改（二期）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东至金家寨路、南至大别山路、西至天堂湖路、北至史河干渠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650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433,33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50</w:t>
            </w:r>
          </w:p>
        </w:tc>
        <w:tc>
          <w:tcPr>
            <w:tcW w:w="56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商住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" w:hRule="atLeast"/>
          <w:jc w:val="center"/>
        </w:trPr>
        <w:tc>
          <w:tcPr>
            <w:tcW w:w="57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合计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650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433,33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50</w:t>
            </w:r>
          </w:p>
        </w:tc>
        <w:tc>
          <w:tcPr>
            <w:tcW w:w="56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</w:tbl>
    <w:p>
      <w:pPr>
        <w:spacing w:before="156" w:beforeLines="50" w:after="156" w:afterLines="50" w:line="360" w:lineRule="auto"/>
        <w:ind w:firstLine="482" w:firstLineChars="20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三、土地出让产生的净现金流入</w:t>
      </w:r>
    </w:p>
    <w:p>
      <w:pPr>
        <w:spacing w:line="360" w:lineRule="auto"/>
        <w:ind w:firstLine="482" w:firstLineChars="20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（一）基本假设条件及依据</w:t>
      </w:r>
    </w:p>
    <w:p>
      <w:pPr>
        <w:spacing w:line="360" w:lineRule="auto"/>
        <w:ind w:firstLine="480" w:firstLineChars="200"/>
        <w:rPr>
          <w:rFonts w:hint="eastAsia" w:ascii="Arial" w:hAnsi="Arial" w:cs="Arial"/>
          <w:sz w:val="24"/>
          <w:szCs w:val="24"/>
          <w:lang w:eastAsia="zh-CN"/>
        </w:rPr>
      </w:pPr>
      <w:r>
        <w:rPr>
          <w:rFonts w:hint="eastAsia" w:ascii="Arial" w:hAnsi="Arial" w:cs="Arial"/>
          <w:sz w:val="24"/>
          <w:szCs w:val="24"/>
        </w:rPr>
        <w:t>本次债券募集资金投资项目现金流入全部通过土地出让实现。相应土地全部位于金寨县，经查询金寨县国土资源局土地出让信息，与此次棚户区改造项目拟出让地块临近或情况相近地块</w:t>
      </w:r>
      <w:r>
        <w:rPr>
          <w:rFonts w:hint="eastAsia" w:ascii="Arial" w:hAnsi="Arial" w:cs="Arial"/>
          <w:sz w:val="24"/>
          <w:szCs w:val="24"/>
          <w:lang w:val="en-US" w:eastAsia="zh-CN"/>
        </w:rPr>
        <w:t>均价为2,493.66元</w:t>
      </w:r>
      <w:bookmarkStart w:id="0" w:name="_GoBack"/>
      <w:bookmarkEnd w:id="0"/>
      <w:r>
        <w:rPr>
          <w:rFonts w:hint="eastAsia" w:ascii="Arial" w:hAnsi="Arial" w:cs="Arial"/>
          <w:sz w:val="24"/>
          <w:szCs w:val="24"/>
          <w:lang w:val="en-US" w:eastAsia="zh-CN"/>
        </w:rPr>
        <w:t>/平方米</w:t>
      </w:r>
      <w:r>
        <w:rPr>
          <w:rFonts w:hint="eastAsia" w:ascii="Arial" w:hAnsi="Arial" w:cs="Arial"/>
          <w:sz w:val="24"/>
          <w:szCs w:val="24"/>
        </w:rPr>
        <w:t>，基准地价参考上述出让土地价格。金寨县20</w:t>
      </w:r>
      <w:r>
        <w:rPr>
          <w:rFonts w:hint="eastAsia" w:ascii="Arial" w:hAnsi="Arial" w:cs="Arial"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sz w:val="24"/>
          <w:szCs w:val="24"/>
        </w:rPr>
        <w:t>年至202</w:t>
      </w:r>
      <w:r>
        <w:rPr>
          <w:rFonts w:hint="eastAsia" w:ascii="Arial" w:hAnsi="Arial" w:cs="Arial"/>
          <w:sz w:val="24"/>
          <w:szCs w:val="24"/>
          <w:lang w:val="en-US" w:eastAsia="zh-CN"/>
        </w:rPr>
        <w:t>2</w:t>
      </w:r>
      <w:r>
        <w:rPr>
          <w:rFonts w:hint="eastAsia" w:ascii="Arial" w:hAnsi="Arial" w:cs="Arial"/>
          <w:sz w:val="24"/>
          <w:szCs w:val="24"/>
        </w:rPr>
        <w:t>年生产总值（GDP）同比增速按可比价格计算分别为4.9%</w:t>
      </w:r>
      <w:r>
        <w:rPr>
          <w:rFonts w:hint="eastAsia" w:ascii="Arial" w:hAnsi="Arial" w:cs="Arial"/>
          <w:sz w:val="24"/>
          <w:szCs w:val="24"/>
          <w:lang w:eastAsia="zh-CN"/>
        </w:rPr>
        <w:t>、</w:t>
      </w:r>
      <w:r>
        <w:rPr>
          <w:rFonts w:hint="eastAsia" w:ascii="Arial" w:hAnsi="Arial" w:cs="Arial"/>
          <w:sz w:val="24"/>
          <w:szCs w:val="24"/>
          <w:lang w:val="en-US" w:eastAsia="zh-CN"/>
        </w:rPr>
        <w:t>10.3%、5.7%</w:t>
      </w:r>
      <w:r>
        <w:rPr>
          <w:rFonts w:hint="eastAsia" w:ascii="Arial" w:hAnsi="Arial" w:cs="Arial"/>
          <w:sz w:val="24"/>
          <w:szCs w:val="24"/>
        </w:rPr>
        <w:t>，近三年平均增速为</w:t>
      </w:r>
      <w:r>
        <w:rPr>
          <w:rFonts w:hint="eastAsia" w:ascii="Arial" w:hAnsi="Arial" w:cs="Arial"/>
          <w:sz w:val="24"/>
          <w:szCs w:val="24"/>
          <w:lang w:val="en-US" w:eastAsia="zh-CN"/>
        </w:rPr>
        <w:t>6.97</w:t>
      </w:r>
      <w:r>
        <w:rPr>
          <w:rFonts w:hint="eastAsia" w:ascii="Arial" w:hAnsi="Arial" w:cs="Arial"/>
          <w:sz w:val="24"/>
          <w:szCs w:val="24"/>
        </w:rPr>
        <w:t>%，预计20</w:t>
      </w:r>
      <w:r>
        <w:rPr>
          <w:rFonts w:hint="eastAsia" w:ascii="Arial" w:hAnsi="Arial" w:cs="Arial"/>
          <w:sz w:val="24"/>
          <w:szCs w:val="24"/>
          <w:lang w:val="en-US" w:eastAsia="zh-CN"/>
        </w:rPr>
        <w:t>23</w:t>
      </w:r>
      <w:r>
        <w:rPr>
          <w:rFonts w:hint="eastAsia" w:ascii="Arial" w:hAnsi="Arial" w:cs="Arial"/>
          <w:sz w:val="24"/>
          <w:szCs w:val="24"/>
        </w:rPr>
        <w:t>年当地GDP增长率为</w:t>
      </w:r>
      <w:r>
        <w:rPr>
          <w:rFonts w:hint="eastAsia" w:ascii="Arial" w:hAnsi="Arial" w:cs="Arial"/>
          <w:sz w:val="24"/>
          <w:szCs w:val="24"/>
          <w:lang w:val="en-US" w:eastAsia="zh-CN"/>
        </w:rPr>
        <w:t>8.20</w:t>
      </w:r>
      <w:r>
        <w:rPr>
          <w:rFonts w:hint="eastAsia" w:ascii="Arial" w:hAnsi="Arial" w:cs="Arial"/>
          <w:sz w:val="24"/>
          <w:szCs w:val="24"/>
        </w:rPr>
        <w:t>%，出于谨慎性考虑，此次土地价格预测按照增速</w:t>
      </w:r>
      <w:r>
        <w:rPr>
          <w:rFonts w:hint="eastAsia" w:ascii="Arial" w:hAnsi="Arial" w:cs="Arial"/>
          <w:sz w:val="24"/>
          <w:szCs w:val="24"/>
          <w:lang w:val="en-US" w:eastAsia="zh-CN"/>
        </w:rPr>
        <w:t>6.97</w:t>
      </w:r>
      <w:r>
        <w:rPr>
          <w:rFonts w:hint="eastAsia" w:ascii="Arial" w:hAnsi="Arial" w:cs="Arial"/>
          <w:sz w:val="24"/>
          <w:szCs w:val="24"/>
        </w:rPr>
        <w:t>%</w:t>
      </w:r>
      <w:r>
        <w:rPr>
          <w:rFonts w:hint="eastAsia" w:ascii="Arial" w:hAnsi="Arial" w:cs="Arial"/>
          <w:sz w:val="24"/>
          <w:szCs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（二）土地出让价格预测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1、土地市场情况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金寨县</w:t>
      </w:r>
      <w:r>
        <w:rPr>
          <w:rFonts w:ascii="Arial" w:hAnsi="Arial" w:cs="Arial"/>
          <w:sz w:val="24"/>
          <w:szCs w:val="24"/>
        </w:rPr>
        <w:t>拟出让地块临近或情况相近</w:t>
      </w:r>
      <w:r>
        <w:rPr>
          <w:rFonts w:hint="eastAsia" w:ascii="Arial" w:hAnsi="Arial" w:cs="Arial"/>
          <w:sz w:val="24"/>
          <w:szCs w:val="24"/>
        </w:rPr>
        <w:t>宗地近年来出让情况，见下表</w:t>
      </w:r>
    </w:p>
    <w:p>
      <w:pPr>
        <w:spacing w:line="360" w:lineRule="auto"/>
        <w:ind w:firstLine="480" w:firstLineChars="200"/>
        <w:jc w:val="right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金额单位：万元</w:t>
      </w:r>
    </w:p>
    <w:tbl>
      <w:tblPr>
        <w:tblStyle w:val="6"/>
        <w:tblW w:w="93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1078"/>
        <w:gridCol w:w="1836"/>
        <w:gridCol w:w="1117"/>
        <w:gridCol w:w="1134"/>
        <w:gridCol w:w="1075"/>
        <w:gridCol w:w="1125"/>
        <w:gridCol w:w="14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tblHeader/>
          <w:jc w:val="center"/>
        </w:trPr>
        <w:tc>
          <w:tcPr>
            <w:tcW w:w="53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07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土地编号</w:t>
            </w:r>
          </w:p>
        </w:tc>
        <w:tc>
          <w:tcPr>
            <w:tcW w:w="18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地块</w:t>
            </w:r>
          </w:p>
        </w:tc>
        <w:tc>
          <w:tcPr>
            <w:tcW w:w="111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 xml:space="preserve"> 土地出让面积（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㎡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 xml:space="preserve">） 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 xml:space="preserve"> 中标总地价（万元） </w:t>
            </w:r>
          </w:p>
        </w:tc>
        <w:tc>
          <w:tcPr>
            <w:tcW w:w="107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成交单价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元/㎡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2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出让日期</w:t>
            </w:r>
          </w:p>
        </w:tc>
        <w:tc>
          <w:tcPr>
            <w:tcW w:w="145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土地用途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3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JZZB-GT-2022-23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金寨经济开发区红石路以北、黄林路以西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42,384.90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10,573.00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2,494.52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2022/12/12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居住用地（住宅及配套商业）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3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JZZB-GT-2022-24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金寨经济开发区红石谷路以南、黄林路以西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43,140.00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10,754.00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2,492.81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2022/12/12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居住用地（住宅及配套商业）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5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参考均价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85,524.90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21,327.00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2,493.66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　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2、棚改区土地出让价格预测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本次预测参照棚改项目周边市场成交价格作为参考价格，考虑不同地块区域差异、项目规划、用途等差异做适当修正。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（1）202</w:t>
      </w:r>
      <w:r>
        <w:rPr>
          <w:rFonts w:hint="eastAsia" w:ascii="Arial" w:hAnsi="Arial" w:cs="Arial"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sz w:val="24"/>
          <w:szCs w:val="24"/>
        </w:rPr>
        <w:t>年土地出让价格预测</w:t>
      </w:r>
    </w:p>
    <w:tbl>
      <w:tblPr>
        <w:tblStyle w:val="6"/>
        <w:tblW w:w="5873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1"/>
        <w:gridCol w:w="850"/>
        <w:gridCol w:w="941"/>
        <w:gridCol w:w="744"/>
        <w:gridCol w:w="1268"/>
        <w:gridCol w:w="1572"/>
        <w:gridCol w:w="852"/>
        <w:gridCol w:w="17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tblHeader/>
          <w:jc w:val="center"/>
        </w:trPr>
        <w:tc>
          <w:tcPr>
            <w:tcW w:w="10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</w:rPr>
              <w:t>地块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</w:rPr>
              <w:t>区县</w:t>
            </w:r>
          </w:p>
        </w:tc>
        <w:tc>
          <w:tcPr>
            <w:tcW w:w="46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</w:rPr>
              <w:t>土地价格增速</w:t>
            </w:r>
          </w:p>
        </w:tc>
        <w:tc>
          <w:tcPr>
            <w:tcW w:w="3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  <w:highlight w:val="yellow"/>
              </w:rPr>
            </w:pPr>
            <w:r>
              <w:rPr>
                <w:rFonts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</w:rPr>
              <w:t>土地性质</w:t>
            </w:r>
          </w:p>
        </w:tc>
        <w:tc>
          <w:tcPr>
            <w:tcW w:w="63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</w:rPr>
              <w:t>拟</w:t>
            </w:r>
            <w:r>
              <w:rPr>
                <w:rFonts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</w:rPr>
              <w:t>出让面积</w:t>
            </w: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平方米</w:t>
            </w: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78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</w:rPr>
              <w:t>参考平均单价</w:t>
            </w:r>
            <w:r>
              <w:rPr>
                <w:rFonts w:hint="eastAsia"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</w:rPr>
              <w:t>元</w:t>
            </w: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㎡</w:t>
            </w:r>
            <w:r>
              <w:rPr>
                <w:rFonts w:hint="eastAsia"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</w:rPr>
              <w:t>预测土地单价</w:t>
            </w:r>
            <w:r>
              <w:rPr>
                <w:rFonts w:hint="eastAsia" w:ascii="Arial" w:hAnsi="宋体" w:eastAsia="宋体" w:cs="Arial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元</w:t>
            </w: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㎡）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tblHeader/>
          <w:jc w:val="center"/>
        </w:trPr>
        <w:tc>
          <w:tcPr>
            <w:tcW w:w="10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sz w:val="21"/>
                <w:szCs w:val="21"/>
                <w:lang w:val="en-US" w:eastAsia="zh-CN"/>
              </w:rPr>
              <w:t>金寨</w:t>
            </w:r>
            <w:r>
              <w:rPr>
                <w:rFonts w:hint="eastAsia" w:ascii="仿宋" w:hAnsi="仿宋" w:eastAsia="仿宋" w:cs="Arial"/>
                <w:color w:val="000000"/>
                <w:sz w:val="21"/>
                <w:szCs w:val="21"/>
              </w:rPr>
              <w:t>现代产业园六期棚改（二期）地块</w:t>
            </w:r>
          </w:p>
        </w:tc>
        <w:tc>
          <w:tcPr>
            <w:tcW w:w="42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</w:rPr>
              <w:t>金寨县</w:t>
            </w:r>
          </w:p>
        </w:tc>
        <w:tc>
          <w:tcPr>
            <w:tcW w:w="46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6.97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%</w:t>
            </w:r>
          </w:p>
        </w:tc>
        <w:tc>
          <w:tcPr>
            <w:tcW w:w="37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商住用地</w:t>
            </w:r>
          </w:p>
        </w:tc>
        <w:tc>
          <w:tcPr>
            <w:tcW w:w="63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433,33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50</w:t>
            </w:r>
          </w:p>
        </w:tc>
        <w:tc>
          <w:tcPr>
            <w:tcW w:w="78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2,493.66</w:t>
            </w:r>
          </w:p>
        </w:tc>
        <w:tc>
          <w:tcPr>
            <w:tcW w:w="42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8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2,493.66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（2）202</w:t>
      </w:r>
      <w:r>
        <w:rPr>
          <w:rFonts w:hint="eastAsia" w:ascii="Arial" w:hAnsi="Arial" w:cs="Arial"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20</w:t>
      </w:r>
      <w:r>
        <w:rPr>
          <w:rFonts w:hint="eastAsia" w:ascii="Arial" w:hAnsi="Arial" w:cs="Arial"/>
          <w:sz w:val="24"/>
          <w:szCs w:val="24"/>
          <w:lang w:val="en-US" w:eastAsia="zh-CN"/>
        </w:rPr>
        <w:t>29</w:t>
      </w:r>
      <w:r>
        <w:rPr>
          <w:rFonts w:hint="eastAsia" w:ascii="Arial" w:hAnsi="Arial" w:cs="Arial"/>
          <w:sz w:val="24"/>
          <w:szCs w:val="24"/>
        </w:rPr>
        <w:t>年土地出让价格预测（</w:t>
      </w:r>
      <w:r>
        <w:rPr>
          <w:rFonts w:ascii="Times New Roman" w:hAnsi="Times New Roman" w:eastAsia="宋体" w:cs="Times New Roman"/>
          <w:sz w:val="24"/>
          <w:szCs w:val="24"/>
        </w:rPr>
        <w:t>预计增长率100%概率测算</w:t>
      </w:r>
      <w:r>
        <w:rPr>
          <w:rFonts w:hint="eastAsia" w:ascii="Arial" w:hAnsi="Arial" w:cs="Arial"/>
          <w:sz w:val="24"/>
          <w:szCs w:val="24"/>
        </w:rPr>
        <w:t>）</w:t>
      </w:r>
    </w:p>
    <w:p>
      <w:pPr>
        <w:spacing w:line="360" w:lineRule="auto"/>
        <w:ind w:firstLine="480" w:firstLineChars="200"/>
        <w:jc w:val="right"/>
        <w:rPr>
          <w:rFonts w:hint="eastAsia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</w:rPr>
        <w:t>金额单位：元/</w:t>
      </w:r>
      <w:r>
        <w:rPr>
          <w:rFonts w:hint="eastAsia" w:ascii="Arial" w:hAnsi="Arial" w:cs="Arial"/>
          <w:sz w:val="24"/>
          <w:szCs w:val="24"/>
          <w:lang w:val="en-US" w:eastAsia="zh-CN"/>
        </w:rPr>
        <w:t>㎡</w:t>
      </w:r>
    </w:p>
    <w:tbl>
      <w:tblPr>
        <w:tblStyle w:val="6"/>
        <w:tblpPr w:leftFromText="181" w:rightFromText="181" w:vertAnchor="text" w:horzAnchor="page" w:tblpX="1033" w:tblpY="182"/>
        <w:tblOverlap w:val="never"/>
        <w:tblW w:w="5879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857"/>
        <w:gridCol w:w="1026"/>
        <w:gridCol w:w="1026"/>
        <w:gridCol w:w="1026"/>
        <w:gridCol w:w="1026"/>
        <w:gridCol w:w="1026"/>
        <w:gridCol w:w="1026"/>
        <w:gridCol w:w="102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地块</w:t>
            </w:r>
          </w:p>
        </w:tc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土地性质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2023年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2024年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2025年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2026年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2027年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2028年</w:t>
            </w: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0"/>
                <w:szCs w:val="20"/>
                <w:lang w:val="en-US" w:eastAsia="zh-CN"/>
              </w:rPr>
              <w:t>金寨</w:t>
            </w:r>
            <w:r>
              <w:rPr>
                <w:rFonts w:hint="default" w:ascii="Times New Roman" w:hAnsi="Times New Roman" w:eastAsia="仿宋" w:cs="Times New Roman"/>
                <w:color w:val="000000"/>
                <w:sz w:val="20"/>
                <w:szCs w:val="20"/>
              </w:rPr>
              <w:t>现代产业园六期棚改（二期）地块</w:t>
            </w:r>
          </w:p>
        </w:tc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商住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用地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2,493.66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2,667.47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2,853.39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3,052.27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3,265.01</w:t>
            </w:r>
          </w:p>
        </w:tc>
        <w:tc>
          <w:tcPr>
            <w:tcW w:w="51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3,492.58</w:t>
            </w:r>
          </w:p>
        </w:tc>
        <w:tc>
          <w:tcPr>
            <w:tcW w:w="5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3,736.01</w:t>
            </w:r>
          </w:p>
        </w:tc>
      </w:tr>
    </w:tbl>
    <w:p>
      <w:pPr>
        <w:spacing w:before="156" w:beforeLines="50" w:after="156" w:afterLines="50" w:line="400" w:lineRule="exact"/>
        <w:ind w:firstLine="482" w:firstLineChars="20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（三）土地出让收入预测</w:t>
      </w:r>
    </w:p>
    <w:p>
      <w:pPr>
        <w:spacing w:line="360" w:lineRule="auto"/>
        <w:ind w:firstLine="480" w:firstLineChars="200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根据上述近期土地市场情况及项目出让区周边土地价格，结合土地出让价格增长率进行预测。</w:t>
      </w:r>
      <w:r>
        <w:rPr>
          <w:rFonts w:ascii="Times New Roman" w:hAnsi="Times New Roman" w:eastAsia="宋体" w:cs="Times New Roman"/>
          <w:sz w:val="24"/>
          <w:szCs w:val="24"/>
        </w:rPr>
        <w:t>以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6.97</w:t>
      </w:r>
      <w:r>
        <w:rPr>
          <w:rFonts w:ascii="Times New Roman" w:hAnsi="Times New Roman" w:eastAsia="宋体" w:cs="Times New Roman"/>
          <w:sz w:val="24"/>
          <w:szCs w:val="24"/>
        </w:rPr>
        <w:t>%作为预测土地出让价格的增长率</w:t>
      </w:r>
      <w:r>
        <w:rPr>
          <w:rFonts w:hint="eastAsia" w:ascii="Arial" w:hAnsi="Arial" w:cs="Arial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1、土地收入预测（预计增长100%概率测算）</w:t>
      </w:r>
    </w:p>
    <w:p>
      <w:pPr>
        <w:spacing w:line="360" w:lineRule="auto"/>
        <w:ind w:firstLine="480" w:firstLineChars="200"/>
        <w:jc w:val="right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金额单位：万元</w:t>
      </w:r>
    </w:p>
    <w:tbl>
      <w:tblPr>
        <w:tblStyle w:val="6"/>
        <w:tblW w:w="5799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2431"/>
        <w:gridCol w:w="1740"/>
        <w:gridCol w:w="1884"/>
        <w:gridCol w:w="166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tblHeader/>
          <w:jc w:val="center"/>
        </w:trPr>
        <w:tc>
          <w:tcPr>
            <w:tcW w:w="109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地块</w:t>
            </w:r>
          </w:p>
        </w:tc>
        <w:tc>
          <w:tcPr>
            <w:tcW w:w="8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>2027年</w:t>
            </w:r>
          </w:p>
        </w:tc>
        <w:tc>
          <w:tcPr>
            <w:tcW w:w="95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>8年</w:t>
            </w:r>
          </w:p>
        </w:tc>
        <w:tc>
          <w:tcPr>
            <w:tcW w:w="84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>29年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9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szCs w:val="21"/>
                <w:lang w:val="en-US" w:eastAsia="zh-CN"/>
              </w:rPr>
              <w:t>金寨</w:t>
            </w:r>
            <w:r>
              <w:rPr>
                <w:rFonts w:hint="eastAsia" w:ascii="仿宋" w:hAnsi="仿宋" w:eastAsia="仿宋" w:cs="Arial"/>
                <w:color w:val="000000"/>
                <w:szCs w:val="21"/>
              </w:rPr>
              <w:t>现代产业园六期棚改（二期）地块</w:t>
            </w: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szCs w:val="21"/>
                <w:lang w:val="en-US" w:eastAsia="zh-CN"/>
              </w:rPr>
              <w:t>金寨</w:t>
            </w:r>
            <w:r>
              <w:rPr>
                <w:rFonts w:hint="eastAsia" w:ascii="仿宋" w:hAnsi="仿宋" w:eastAsia="仿宋" w:cs="Arial"/>
                <w:color w:val="000000"/>
                <w:szCs w:val="21"/>
              </w:rPr>
              <w:t>现代产业园六期棚改（二期）地块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56,593.79</w:t>
            </w:r>
          </w:p>
        </w:tc>
        <w:tc>
          <w:tcPr>
            <w:tcW w:w="18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30,269.18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64,757.83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9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56,593.79</w:t>
            </w:r>
          </w:p>
        </w:tc>
        <w:tc>
          <w:tcPr>
            <w:tcW w:w="18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Times New Roman" w:hAnsi="Times New Roman" w:eastAsia="等线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30,269.18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Times New Roman" w:hAnsi="Times New Roman" w:eastAsia="等线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64,757.83</w:t>
            </w:r>
          </w:p>
        </w:tc>
      </w:tr>
    </w:tbl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2、土地收入预测（预计增长</w:t>
      </w:r>
      <w:r>
        <w:rPr>
          <w:rFonts w:hint="eastAsia" w:ascii="Arial" w:hAnsi="Arial" w:cs="Arial"/>
          <w:sz w:val="24"/>
          <w:szCs w:val="24"/>
          <w:lang w:val="en-US" w:eastAsia="zh-CN"/>
        </w:rPr>
        <w:t>90</w:t>
      </w:r>
      <w:r>
        <w:rPr>
          <w:rFonts w:hint="eastAsia" w:ascii="Arial" w:hAnsi="Arial" w:cs="Arial"/>
          <w:sz w:val="24"/>
          <w:szCs w:val="24"/>
        </w:rPr>
        <w:t>%概率测算）</w:t>
      </w:r>
    </w:p>
    <w:p>
      <w:pPr>
        <w:spacing w:line="360" w:lineRule="auto"/>
        <w:ind w:firstLine="480" w:firstLineChars="200"/>
        <w:jc w:val="right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金额单位：万元</w:t>
      </w:r>
    </w:p>
    <w:tbl>
      <w:tblPr>
        <w:tblStyle w:val="6"/>
        <w:tblW w:w="5799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2431"/>
        <w:gridCol w:w="1740"/>
        <w:gridCol w:w="1884"/>
        <w:gridCol w:w="166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tblHeader/>
          <w:jc w:val="center"/>
        </w:trPr>
        <w:tc>
          <w:tcPr>
            <w:tcW w:w="109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地块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>2027年</w:t>
            </w:r>
          </w:p>
        </w:tc>
        <w:tc>
          <w:tcPr>
            <w:tcW w:w="18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>8年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>29年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9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szCs w:val="21"/>
                <w:lang w:val="en-US" w:eastAsia="zh-CN"/>
              </w:rPr>
              <w:t>金寨</w:t>
            </w:r>
            <w:r>
              <w:rPr>
                <w:rFonts w:hint="eastAsia" w:ascii="仿宋" w:hAnsi="仿宋" w:eastAsia="仿宋" w:cs="Arial"/>
                <w:color w:val="000000"/>
                <w:szCs w:val="21"/>
              </w:rPr>
              <w:t>现代产业园六期棚改（二期）地块</w:t>
            </w: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szCs w:val="21"/>
                <w:lang w:val="en-US" w:eastAsia="zh-CN"/>
              </w:rPr>
              <w:t>金寨</w:t>
            </w:r>
            <w:r>
              <w:rPr>
                <w:rFonts w:hint="eastAsia" w:ascii="仿宋" w:hAnsi="仿宋" w:eastAsia="仿宋" w:cs="Arial"/>
                <w:color w:val="000000"/>
                <w:szCs w:val="21"/>
              </w:rPr>
              <w:t>现代产业园六期棚改（二期）地块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55,133.28</w:t>
            </w:r>
          </w:p>
        </w:tc>
        <w:tc>
          <w:tcPr>
            <w:tcW w:w="18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29,295.91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62,267.19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9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55,133.28</w:t>
            </w:r>
          </w:p>
        </w:tc>
        <w:tc>
          <w:tcPr>
            <w:tcW w:w="18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29,295.91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62,267.19</w:t>
            </w:r>
          </w:p>
        </w:tc>
      </w:tr>
    </w:tbl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3、土地收入预测（预计增长</w:t>
      </w:r>
      <w:r>
        <w:rPr>
          <w:rFonts w:hint="eastAsia" w:ascii="Arial" w:hAnsi="Arial" w:cs="Arial"/>
          <w:sz w:val="24"/>
          <w:szCs w:val="24"/>
          <w:lang w:val="en-US" w:eastAsia="zh-CN"/>
        </w:rPr>
        <w:t>80</w:t>
      </w:r>
      <w:r>
        <w:rPr>
          <w:rFonts w:hint="eastAsia" w:ascii="Arial" w:hAnsi="Arial" w:cs="Arial"/>
          <w:sz w:val="24"/>
          <w:szCs w:val="24"/>
        </w:rPr>
        <w:t>%概率测算）</w:t>
      </w:r>
    </w:p>
    <w:p>
      <w:pPr>
        <w:spacing w:line="360" w:lineRule="auto"/>
        <w:ind w:firstLine="480" w:firstLineChars="200"/>
        <w:jc w:val="right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金额单位：万元</w:t>
      </w:r>
    </w:p>
    <w:tbl>
      <w:tblPr>
        <w:tblStyle w:val="6"/>
        <w:tblW w:w="5799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2431"/>
        <w:gridCol w:w="1740"/>
        <w:gridCol w:w="1884"/>
        <w:gridCol w:w="166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tblHeader/>
          <w:jc w:val="center"/>
        </w:trPr>
        <w:tc>
          <w:tcPr>
            <w:tcW w:w="109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地块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>2027年</w:t>
            </w:r>
          </w:p>
        </w:tc>
        <w:tc>
          <w:tcPr>
            <w:tcW w:w="18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>8年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/>
              </w:rPr>
              <w:t>29年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9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szCs w:val="21"/>
                <w:lang w:val="en-US" w:eastAsia="zh-CN"/>
              </w:rPr>
              <w:t>金寨</w:t>
            </w:r>
            <w:r>
              <w:rPr>
                <w:rFonts w:hint="eastAsia" w:ascii="仿宋" w:hAnsi="仿宋" w:eastAsia="仿宋" w:cs="Arial"/>
                <w:color w:val="000000"/>
                <w:szCs w:val="21"/>
              </w:rPr>
              <w:t>现代产业园六期棚改（二期）地块</w:t>
            </w: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szCs w:val="21"/>
                <w:lang w:val="en-US" w:eastAsia="zh-CN"/>
              </w:rPr>
              <w:t>金寨</w:t>
            </w:r>
            <w:r>
              <w:rPr>
                <w:rFonts w:hint="eastAsia" w:ascii="仿宋" w:hAnsi="仿宋" w:eastAsia="仿宋" w:cs="Arial"/>
                <w:color w:val="000000"/>
                <w:szCs w:val="21"/>
              </w:rPr>
              <w:t>现代产业园六期棚改（二期）地块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53,701.19</w:t>
            </w:r>
          </w:p>
        </w:tc>
        <w:tc>
          <w:tcPr>
            <w:tcW w:w="18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28,347.77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59,856.81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9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53,701.19</w:t>
            </w:r>
          </w:p>
        </w:tc>
        <w:tc>
          <w:tcPr>
            <w:tcW w:w="18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28,347.77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59,856.81</w:t>
            </w:r>
          </w:p>
        </w:tc>
      </w:tr>
    </w:tbl>
    <w:p>
      <w:pPr>
        <w:spacing w:before="156" w:beforeLines="50" w:after="156" w:afterLines="50" w:line="360" w:lineRule="auto"/>
        <w:ind w:firstLine="482" w:firstLineChars="20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（四）</w:t>
      </w:r>
      <w:r>
        <w:rPr>
          <w:rFonts w:ascii="Arial" w:hAnsi="Arial" w:cs="Arial"/>
          <w:b/>
          <w:sz w:val="24"/>
          <w:szCs w:val="24"/>
        </w:rPr>
        <w:t>土地出让</w:t>
      </w:r>
      <w:r>
        <w:rPr>
          <w:rFonts w:hint="eastAsia" w:ascii="Arial" w:hAnsi="Arial" w:cs="Arial"/>
          <w:b/>
          <w:sz w:val="24"/>
          <w:szCs w:val="24"/>
        </w:rPr>
        <w:t>收益预测</w:t>
      </w:r>
    </w:p>
    <w:p>
      <w:pPr>
        <w:spacing w:line="360" w:lineRule="auto"/>
        <w:ind w:firstLine="480" w:firstLineChars="200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按自融资开始日起第七年开始土地挂牌交易，且全部于</w:t>
      </w:r>
      <w:r>
        <w:rPr>
          <w:rFonts w:hint="eastAsia" w:ascii="Arial" w:hAnsi="Arial" w:cs="Arial"/>
          <w:sz w:val="24"/>
          <w:szCs w:val="24"/>
          <w:lang w:val="en-US" w:eastAsia="zh-CN"/>
        </w:rPr>
        <w:t>三</w:t>
      </w:r>
      <w:r>
        <w:rPr>
          <w:rFonts w:hint="eastAsia" w:ascii="Arial" w:hAnsi="Arial" w:cs="Arial"/>
          <w:sz w:val="24"/>
          <w:szCs w:val="24"/>
        </w:rPr>
        <w:t>年内出让完毕，</w:t>
      </w:r>
      <w:r>
        <w:rPr>
          <w:rFonts w:hint="eastAsia" w:ascii="Arial" w:hAnsi="Arial" w:cs="Arial"/>
          <w:sz w:val="24"/>
          <w:szCs w:val="24"/>
          <w:lang w:val="en-US" w:eastAsia="zh-CN"/>
        </w:rPr>
        <w:t>即2027年出让173,334.20㎡、2028年出让86,667.10㎡、2029年出让173,334.20㎡。</w:t>
      </w:r>
      <w:r>
        <w:rPr>
          <w:rFonts w:hint="eastAsia" w:ascii="Arial" w:hAnsi="Arial" w:cs="Arial"/>
          <w:sz w:val="24"/>
          <w:szCs w:val="24"/>
        </w:rPr>
        <w:t>分别以</w:t>
      </w:r>
      <w:r>
        <w:rPr>
          <w:rFonts w:hint="eastAsia" w:ascii="Arial" w:hAnsi="Arial" w:cs="Arial"/>
          <w:sz w:val="24"/>
          <w:szCs w:val="24"/>
          <w:lang w:val="en-US" w:eastAsia="zh-CN"/>
        </w:rPr>
        <w:t>6.97%</w:t>
      </w:r>
      <w:r>
        <w:rPr>
          <w:rFonts w:hint="eastAsia" w:ascii="Arial" w:hAnsi="Arial" w:cs="Arial"/>
          <w:sz w:val="24"/>
          <w:szCs w:val="24"/>
        </w:rPr>
        <w:t>的100%、90%、80%的比例计算土地价格的增长，</w:t>
      </w:r>
      <w:r>
        <w:rPr>
          <w:rFonts w:ascii="Times New Roman" w:hAnsi="Times New Roman" w:eastAsia="宋体" w:cs="Times New Roman"/>
          <w:sz w:val="24"/>
          <w:szCs w:val="24"/>
        </w:rPr>
        <w:t>债券存续期内土地挂牌交易的现金流入</w:t>
      </w:r>
      <w:r>
        <w:rPr>
          <w:rFonts w:hint="eastAsia" w:ascii="Arial" w:hAnsi="Arial" w:cs="Arial"/>
          <w:sz w:val="24"/>
          <w:szCs w:val="24"/>
        </w:rPr>
        <w:t>，考虑国有土地收益基金、农业土地开发资金的情况，可用于资金平衡棚改项目收益情况如下：</w:t>
      </w:r>
    </w:p>
    <w:p>
      <w:pPr>
        <w:numPr>
          <w:ilvl w:val="0"/>
          <w:numId w:val="1"/>
        </w:numPr>
        <w:spacing w:line="400" w:lineRule="exact"/>
        <w:ind w:firstLine="480" w:firstLineChars="200"/>
        <w:rPr>
          <w:rFonts w:hint="eastAsia" w:ascii="Arial" w:hAnsi="Arial" w:cs="Arial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6.97</w:t>
      </w:r>
      <w:r>
        <w:rPr>
          <w:rFonts w:ascii="Times New Roman" w:hAnsi="Times New Roman" w:eastAsia="宋体" w:cs="Times New Roman"/>
          <w:sz w:val="24"/>
          <w:szCs w:val="24"/>
        </w:rPr>
        <w:t>%的100%比例计算的土地价格增长率下的可用于资金平衡的项目收益情况</w:t>
      </w:r>
      <w:r>
        <w:rPr>
          <w:rFonts w:hint="eastAsia" w:ascii="Arial" w:hAnsi="Arial" w:cs="Arial"/>
          <w:sz w:val="24"/>
          <w:szCs w:val="24"/>
        </w:rPr>
        <w:t>：</w:t>
      </w:r>
    </w:p>
    <w:p>
      <w:pPr>
        <w:numPr>
          <w:ilvl w:val="0"/>
          <w:numId w:val="0"/>
        </w:numPr>
        <w:spacing w:line="400" w:lineRule="exact"/>
        <w:jc w:val="right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金额单位：万元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3531"/>
        <w:gridCol w:w="1116"/>
        <w:gridCol w:w="1026"/>
        <w:gridCol w:w="1116"/>
        <w:gridCol w:w="11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2027年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2028年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2029年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土地出让收入（万元）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56,593.79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30,269.18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64,757.83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151,620.80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金寨现代产业园六期棚改（二期）地块（万元）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56,593.79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30,269.18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64,757.83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151,620.80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出让面积（㎡）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173,334.20 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86,667.10 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173,334.20 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433,335.50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单价（元</w:t>
            </w:r>
            <w:r>
              <w:rPr>
                <w:rStyle w:val="18"/>
                <w:rFonts w:eastAsia="宋体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3,265.01 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3,492.58 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3,736.01 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土地扣减项目（万元）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2,916.36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1,556.79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3,324.56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7,797.71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国有土地收益基金（按土地出让收入的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提取，万元）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2,829.69 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1,513.46 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3,237.89 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7,581.04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农业土地开发资金（按每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平方米提取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86.67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43.33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86.67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用于资金平衡项目收益（万元）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53,677.43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28,712.39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61,433.27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143,823.09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left="0" w:leftChars="0" w:firstLine="480" w:firstLineChars="200"/>
        <w:textAlignment w:val="auto"/>
        <w:rPr>
          <w:rFonts w:hint="eastAsia" w:ascii="Arial" w:hAnsi="Arial" w:cs="Arial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6.97</w:t>
      </w:r>
      <w:r>
        <w:rPr>
          <w:rFonts w:ascii="Times New Roman" w:hAnsi="Times New Roman" w:eastAsia="宋体" w:cs="Times New Roman"/>
          <w:sz w:val="24"/>
          <w:szCs w:val="24"/>
        </w:rPr>
        <w:t>%的90%比例计算的土地价格增长率下的可用于资金平衡的项目收益情况</w:t>
      </w:r>
      <w:r>
        <w:rPr>
          <w:rFonts w:hint="eastAsia" w:ascii="Arial" w:hAnsi="Arial" w:cs="Arial"/>
          <w:sz w:val="24"/>
          <w:szCs w:val="24"/>
        </w:rPr>
        <w:t>：</w:t>
      </w:r>
    </w:p>
    <w:p>
      <w:pPr>
        <w:numPr>
          <w:ilvl w:val="0"/>
          <w:numId w:val="0"/>
        </w:numPr>
        <w:spacing w:line="360" w:lineRule="auto"/>
        <w:ind w:leftChars="200"/>
        <w:jc w:val="right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金额单位：万元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3527"/>
        <w:gridCol w:w="1116"/>
        <w:gridCol w:w="1026"/>
        <w:gridCol w:w="1117"/>
        <w:gridCol w:w="11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2027年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2028年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2029年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土地出让收入（万元）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55,133.28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29,295.91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62,267.19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146,696.38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2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金寨现代产业园六期棚改（二期）地块（万元）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55,133.28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29,295.91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62,267.19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146,696.38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2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出让面积（㎡）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173,334.20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86,667.10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173,334.20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433,335.50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2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单价（元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3,180.75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3,380.28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3,592.32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土地扣减项目（万元）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2,843.33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1,508.13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3,200.03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7,551.49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2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国有土地收益基金（按土地出让收入的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提取，万元）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2,756.66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1,464.80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3,113.36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7,334.82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</w:t>
            </w:r>
          </w:p>
        </w:tc>
        <w:tc>
          <w:tcPr>
            <w:tcW w:w="2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农业土地开发资金（按每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平方米提取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86.67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43.33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86.67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用于资金平衡项目收益（万元）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52,289.95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27,787.78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59,067.16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139,144.89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left="0" w:leftChars="0" w:firstLine="480" w:firstLineChars="200"/>
        <w:textAlignment w:val="auto"/>
        <w:rPr>
          <w:rFonts w:hint="eastAsia" w:ascii="Arial" w:hAnsi="Arial" w:cs="Arial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6.97</w:t>
      </w:r>
      <w:r>
        <w:rPr>
          <w:rFonts w:ascii="Times New Roman" w:hAnsi="Times New Roman" w:eastAsia="宋体" w:cs="Times New Roman"/>
          <w:sz w:val="24"/>
          <w:szCs w:val="24"/>
        </w:rPr>
        <w:t>%的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80</w:t>
      </w:r>
      <w:r>
        <w:rPr>
          <w:rFonts w:ascii="Times New Roman" w:hAnsi="Times New Roman" w:eastAsia="宋体" w:cs="Times New Roman"/>
          <w:sz w:val="24"/>
          <w:szCs w:val="24"/>
        </w:rPr>
        <w:t>%比例计算的土地价格增长率下的可用于资金平衡的项目收益情况</w:t>
      </w:r>
      <w:r>
        <w:rPr>
          <w:rFonts w:hint="eastAsia" w:ascii="Arial" w:hAnsi="Arial" w:cs="Arial"/>
          <w:sz w:val="24"/>
          <w:szCs w:val="24"/>
        </w:rPr>
        <w:t>：</w:t>
      </w:r>
    </w:p>
    <w:p>
      <w:pPr>
        <w:spacing w:line="360" w:lineRule="auto"/>
        <w:ind w:firstLine="480" w:firstLineChars="200"/>
        <w:jc w:val="right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金额单位：万元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3528"/>
        <w:gridCol w:w="1116"/>
        <w:gridCol w:w="1026"/>
        <w:gridCol w:w="1116"/>
        <w:gridCol w:w="11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tblHeader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2027年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2028年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2029年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土地出让收入（万元）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53,701.19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28,347.77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59,856.81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141,905.77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2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金寨现代产业园六期棚改（二期）地块（万元）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53,701.19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28,347.77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59,856.81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141,905.77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2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出让面积（㎡）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173,334.20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86,667.10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173,334.20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433,335.50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2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单价（元/㎡）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3,098.13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3,270.88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3,453.26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土地扣减项目（万元）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2,771.73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1,460.72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3,079.51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7,311.96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2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国有土地收益基金（按土地出让收入的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提取，万元）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2,685.06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1,417.39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2,992.84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7,095.29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</w:t>
            </w:r>
          </w:p>
        </w:tc>
        <w:tc>
          <w:tcPr>
            <w:tcW w:w="2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农业土地开发资金（按每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平方米提取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万元）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86.67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43.33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86.67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216.67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用于资金平衡项目收益（万元）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50,929.46 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26,887.05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56,777.30 </w:t>
            </w: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134,593.81 </w:t>
            </w:r>
          </w:p>
        </w:tc>
      </w:tr>
    </w:tbl>
    <w:p>
      <w:pPr>
        <w:spacing w:before="156" w:beforeLines="50" w:after="156" w:afterLines="50" w:line="360" w:lineRule="auto"/>
        <w:ind w:firstLine="482" w:firstLineChars="20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四、本期债券募投项目收益和现金流覆盖融资还本付息情况</w:t>
      </w:r>
    </w:p>
    <w:p>
      <w:pPr>
        <w:spacing w:line="360" w:lineRule="auto"/>
        <w:ind w:firstLine="480" w:firstLineChars="200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本期债券募投项目收益为土地挂牌交易产生的现金流入，土地未挂牌交易前需支付的资金利息由项目建设金支付，项目建设金包含项目资本金及债券资金。</w:t>
      </w:r>
    </w:p>
    <w:p>
      <w:pPr>
        <w:spacing w:line="360" w:lineRule="auto"/>
        <w:ind w:firstLine="480" w:firstLineChars="200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按自融资开始日起第七年开始土地挂牌交易，且全部于</w:t>
      </w:r>
      <w:r>
        <w:rPr>
          <w:rFonts w:hint="eastAsia" w:ascii="Arial" w:hAnsi="Arial" w:cs="Arial"/>
          <w:sz w:val="24"/>
          <w:szCs w:val="24"/>
          <w:lang w:val="en-US" w:eastAsia="zh-CN"/>
        </w:rPr>
        <w:t>三</w:t>
      </w:r>
      <w:r>
        <w:rPr>
          <w:rFonts w:hint="eastAsia" w:ascii="Arial" w:hAnsi="Arial" w:cs="Arial"/>
          <w:sz w:val="24"/>
          <w:szCs w:val="24"/>
        </w:rPr>
        <w:t>年内出让完毕，</w:t>
      </w:r>
      <w:r>
        <w:rPr>
          <w:rFonts w:hint="eastAsia" w:ascii="Arial" w:hAnsi="Arial" w:cs="Arial"/>
          <w:sz w:val="24"/>
          <w:szCs w:val="24"/>
          <w:lang w:val="en-US" w:eastAsia="zh-CN"/>
        </w:rPr>
        <w:t>即2027年出让173,334.20㎡、2028年出让86,667.10㎡、2029出让173,334.20㎡，</w:t>
      </w:r>
      <w:r>
        <w:rPr>
          <w:rFonts w:hint="eastAsia" w:ascii="Arial" w:hAnsi="Arial" w:cs="Arial"/>
          <w:sz w:val="24"/>
          <w:szCs w:val="24"/>
        </w:rPr>
        <w:t>本次发债自行平衡项目覆盖情况：按20</w:t>
      </w:r>
      <w:r>
        <w:rPr>
          <w:rFonts w:hint="eastAsia" w:ascii="Arial" w:hAnsi="Arial" w:cs="Arial"/>
          <w:sz w:val="24"/>
          <w:szCs w:val="24"/>
          <w:lang w:val="en-US" w:eastAsia="zh-CN"/>
        </w:rPr>
        <w:t>20-2022</w:t>
      </w:r>
      <w:r>
        <w:rPr>
          <w:rFonts w:hint="eastAsia" w:ascii="Arial" w:hAnsi="Arial" w:cs="Arial"/>
          <w:sz w:val="24"/>
          <w:szCs w:val="24"/>
        </w:rPr>
        <w:t>年金寨县GDP</w:t>
      </w:r>
      <w:r>
        <w:rPr>
          <w:rFonts w:hint="eastAsia" w:ascii="Arial" w:hAnsi="Arial" w:cs="Arial"/>
          <w:sz w:val="24"/>
          <w:szCs w:val="24"/>
          <w:lang w:val="en-US" w:eastAsia="zh-CN"/>
        </w:rPr>
        <w:t>平均</w:t>
      </w:r>
      <w:r>
        <w:rPr>
          <w:rFonts w:hint="eastAsia" w:ascii="Arial" w:hAnsi="Arial" w:cs="Arial"/>
          <w:sz w:val="24"/>
          <w:szCs w:val="24"/>
        </w:rPr>
        <w:t>增速</w:t>
      </w:r>
      <w:r>
        <w:rPr>
          <w:rFonts w:hint="eastAsia" w:ascii="Arial" w:hAnsi="Arial" w:cs="Arial"/>
          <w:sz w:val="24"/>
          <w:szCs w:val="24"/>
          <w:lang w:val="en-US" w:eastAsia="zh-CN"/>
        </w:rPr>
        <w:t>6.97%</w:t>
      </w:r>
      <w:r>
        <w:rPr>
          <w:rFonts w:hint="eastAsia" w:ascii="Arial" w:hAnsi="Arial" w:cs="Arial"/>
          <w:sz w:val="24"/>
          <w:szCs w:val="24"/>
        </w:rPr>
        <w:t>的100%比例计算土地价格的增速的情况下，本息覆盖倍数为</w:t>
      </w:r>
      <w:r>
        <w:rPr>
          <w:rFonts w:hint="eastAsia" w:ascii="Arial" w:hAnsi="Arial" w:cs="Arial"/>
          <w:sz w:val="24"/>
          <w:szCs w:val="24"/>
          <w:lang w:val="en-US" w:eastAsia="zh-CN"/>
        </w:rPr>
        <w:t>1.34</w:t>
      </w:r>
      <w:r>
        <w:rPr>
          <w:rFonts w:hint="eastAsia" w:ascii="Arial" w:hAnsi="Arial" w:cs="Arial"/>
          <w:sz w:val="24"/>
          <w:szCs w:val="24"/>
        </w:rPr>
        <w:t>；按20</w:t>
      </w:r>
      <w:r>
        <w:rPr>
          <w:rFonts w:hint="eastAsia" w:ascii="Arial" w:hAnsi="Arial" w:cs="Arial"/>
          <w:sz w:val="24"/>
          <w:szCs w:val="24"/>
          <w:lang w:val="en-US" w:eastAsia="zh-CN"/>
        </w:rPr>
        <w:t>20-2022</w:t>
      </w:r>
      <w:r>
        <w:rPr>
          <w:rFonts w:hint="eastAsia" w:ascii="Arial" w:hAnsi="Arial" w:cs="Arial"/>
          <w:sz w:val="24"/>
          <w:szCs w:val="24"/>
        </w:rPr>
        <w:t>年金寨县GDP</w:t>
      </w:r>
      <w:r>
        <w:rPr>
          <w:rFonts w:hint="eastAsia" w:ascii="Arial" w:hAnsi="Arial" w:cs="Arial"/>
          <w:sz w:val="24"/>
          <w:szCs w:val="24"/>
          <w:lang w:val="en-US" w:eastAsia="zh-CN"/>
        </w:rPr>
        <w:t>平均</w:t>
      </w:r>
      <w:r>
        <w:rPr>
          <w:rFonts w:hint="eastAsia" w:ascii="Arial" w:hAnsi="Arial" w:cs="Arial"/>
          <w:sz w:val="24"/>
          <w:szCs w:val="24"/>
        </w:rPr>
        <w:t>增速</w:t>
      </w:r>
      <w:r>
        <w:rPr>
          <w:rFonts w:hint="eastAsia" w:ascii="Arial" w:hAnsi="Arial" w:cs="Arial"/>
          <w:sz w:val="24"/>
          <w:szCs w:val="24"/>
          <w:lang w:val="en-US" w:eastAsia="zh-CN"/>
        </w:rPr>
        <w:t>6.97%</w:t>
      </w:r>
      <w:r>
        <w:rPr>
          <w:rFonts w:hint="eastAsia" w:ascii="Arial" w:hAnsi="Arial" w:cs="Arial"/>
          <w:sz w:val="24"/>
          <w:szCs w:val="24"/>
        </w:rPr>
        <w:t>的90%比例计算土地价格的增长的情况下，本息覆盖倍数为</w:t>
      </w:r>
      <w:r>
        <w:rPr>
          <w:rFonts w:hint="eastAsia" w:ascii="Arial" w:hAnsi="Arial" w:cs="Arial"/>
          <w:sz w:val="24"/>
          <w:szCs w:val="24"/>
          <w:lang w:val="en-US" w:eastAsia="zh-CN"/>
        </w:rPr>
        <w:t>1.29</w:t>
      </w:r>
      <w:r>
        <w:rPr>
          <w:rFonts w:hint="eastAsia" w:ascii="Arial" w:hAnsi="Arial" w:cs="Arial"/>
          <w:sz w:val="24"/>
          <w:szCs w:val="24"/>
        </w:rPr>
        <w:t>；按20</w:t>
      </w:r>
      <w:r>
        <w:rPr>
          <w:rFonts w:hint="eastAsia" w:ascii="Arial" w:hAnsi="Arial" w:cs="Arial"/>
          <w:sz w:val="24"/>
          <w:szCs w:val="24"/>
          <w:lang w:val="en-US" w:eastAsia="zh-CN"/>
        </w:rPr>
        <w:t>20-2022</w:t>
      </w:r>
      <w:r>
        <w:rPr>
          <w:rFonts w:hint="eastAsia" w:ascii="Arial" w:hAnsi="Arial" w:cs="Arial"/>
          <w:sz w:val="24"/>
          <w:szCs w:val="24"/>
        </w:rPr>
        <w:t>年金寨县GDP</w:t>
      </w:r>
      <w:r>
        <w:rPr>
          <w:rFonts w:hint="eastAsia" w:ascii="Arial" w:hAnsi="Arial" w:cs="Arial"/>
          <w:sz w:val="24"/>
          <w:szCs w:val="24"/>
          <w:lang w:val="en-US" w:eastAsia="zh-CN"/>
        </w:rPr>
        <w:t>平均</w:t>
      </w:r>
      <w:r>
        <w:rPr>
          <w:rFonts w:hint="eastAsia" w:ascii="Arial" w:hAnsi="Arial" w:cs="Arial"/>
          <w:sz w:val="24"/>
          <w:szCs w:val="24"/>
        </w:rPr>
        <w:t>增速</w:t>
      </w:r>
      <w:r>
        <w:rPr>
          <w:rFonts w:hint="eastAsia" w:ascii="Arial" w:hAnsi="Arial" w:cs="Arial"/>
          <w:sz w:val="24"/>
          <w:szCs w:val="24"/>
          <w:lang w:val="en-US" w:eastAsia="zh-CN"/>
        </w:rPr>
        <w:t>6.97%</w:t>
      </w:r>
      <w:r>
        <w:rPr>
          <w:rFonts w:hint="eastAsia" w:ascii="Arial" w:hAnsi="Arial" w:cs="Arial"/>
          <w:sz w:val="24"/>
          <w:szCs w:val="24"/>
        </w:rPr>
        <w:t>的80%比例计算土地价格的增长的情况下，本息覆盖倍数为</w:t>
      </w:r>
      <w:r>
        <w:rPr>
          <w:rFonts w:hint="eastAsia" w:ascii="Arial" w:hAnsi="Arial" w:cs="Arial"/>
          <w:sz w:val="24"/>
          <w:szCs w:val="24"/>
          <w:lang w:val="en-US" w:eastAsia="zh-CN"/>
        </w:rPr>
        <w:t>1.25。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80" w:firstLineChars="200"/>
        <w:textAlignment w:val="auto"/>
        <w:rPr>
          <w:rFonts w:hint="eastAsia" w:ascii="Arial" w:hAnsi="Arial" w:cs="Arial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6.97%</w:t>
      </w:r>
      <w:r>
        <w:rPr>
          <w:rFonts w:ascii="Times New Roman" w:hAnsi="Times New Roman" w:eastAsia="宋体" w:cs="Times New Roman"/>
          <w:sz w:val="24"/>
          <w:szCs w:val="24"/>
        </w:rPr>
        <w:t>的100%比例计算土地价格的增速情况下，融资本息覆盖倍数</w:t>
      </w:r>
      <w:r>
        <w:rPr>
          <w:rFonts w:hint="eastAsia" w:ascii="Arial" w:hAnsi="Arial" w:cs="Arial"/>
          <w:sz w:val="24"/>
          <w:szCs w:val="24"/>
        </w:rPr>
        <w:t>：</w:t>
      </w:r>
    </w:p>
    <w:p>
      <w:pPr>
        <w:numPr>
          <w:ilvl w:val="0"/>
          <w:numId w:val="0"/>
        </w:numPr>
        <w:spacing w:line="360" w:lineRule="auto"/>
        <w:jc w:val="right"/>
        <w:rPr>
          <w:rFonts w:hint="eastAsia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金额单位：万元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238"/>
        <w:gridCol w:w="1239"/>
        <w:gridCol w:w="1360"/>
        <w:gridCol w:w="1322"/>
        <w:gridCol w:w="936"/>
        <w:gridCol w:w="11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7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</w:p>
        </w:tc>
        <w:tc>
          <w:tcPr>
            <w:tcW w:w="22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融资本息支付</w:t>
            </w:r>
          </w:p>
        </w:tc>
        <w:tc>
          <w:tcPr>
            <w:tcW w:w="199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项目还款来源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7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本金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利息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本息合计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土地相关收益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专项收入</w:t>
            </w: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1,549.66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1,549.66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1,959.86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1,959.86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2027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34,201.66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53,677.43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53,677.43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2028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1,721.50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16,721.50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28,712.39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28,712.39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2029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14,000.00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1,252.00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15,252.00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61,433.27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61,433.27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27,600.00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841.80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28,441.80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88,000.00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19,611.62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107,611.62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143,823.09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143,823.09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本息覆盖倍数</w:t>
            </w:r>
          </w:p>
        </w:tc>
        <w:tc>
          <w:tcPr>
            <w:tcW w:w="722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1.34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6.97%</w:t>
      </w:r>
      <w:r>
        <w:rPr>
          <w:rFonts w:ascii="Times New Roman" w:hAnsi="Times New Roman" w:eastAsia="宋体" w:cs="Times New Roman"/>
          <w:sz w:val="24"/>
          <w:szCs w:val="24"/>
        </w:rPr>
        <w:t>的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90</w:t>
      </w:r>
      <w:r>
        <w:rPr>
          <w:rFonts w:ascii="Times New Roman" w:hAnsi="Times New Roman" w:eastAsia="宋体" w:cs="Times New Roman"/>
          <w:sz w:val="24"/>
          <w:szCs w:val="24"/>
        </w:rPr>
        <w:t>%比例计算土地价格的增速情况下，融资本息覆盖倍数</w:t>
      </w:r>
      <w:r>
        <w:rPr>
          <w:rFonts w:hint="eastAsia" w:ascii="Times New Roman" w:hAnsi="Times New Roman" w:eastAsia="宋体" w:cs="Times New Roman"/>
          <w:sz w:val="24"/>
          <w:szCs w:val="24"/>
        </w:rPr>
        <w:t>：</w:t>
      </w:r>
    </w:p>
    <w:p>
      <w:pPr>
        <w:spacing w:line="360" w:lineRule="auto"/>
        <w:ind w:firstLine="480" w:firstLineChars="200"/>
        <w:jc w:val="right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金额单位：万元</w:t>
      </w:r>
    </w:p>
    <w:tbl>
      <w:tblPr>
        <w:tblStyle w:val="6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238"/>
        <w:gridCol w:w="1239"/>
        <w:gridCol w:w="1360"/>
        <w:gridCol w:w="1322"/>
        <w:gridCol w:w="936"/>
        <w:gridCol w:w="11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7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</w:p>
        </w:tc>
        <w:tc>
          <w:tcPr>
            <w:tcW w:w="22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融资本息支付</w:t>
            </w:r>
          </w:p>
        </w:tc>
        <w:tc>
          <w:tcPr>
            <w:tcW w:w="199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项目还款来源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7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本金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利息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本息合计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土地相关收益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专项收入</w:t>
            </w: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1,549.66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1,549.66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1,959.86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1,959.86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34,201.66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52,289.95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52,289.95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1,721.50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16,721.50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27,787.78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27,787.78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14,000.00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1,252.00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15,252.00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59,067.16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59,067.16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27,600.00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841.80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28,441.80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88,000.00 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19,611.62 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107,611.62 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139,144.89 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139,144.89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本息覆盖倍数</w:t>
            </w:r>
          </w:p>
        </w:tc>
        <w:tc>
          <w:tcPr>
            <w:tcW w:w="722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1.29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6.97%</w:t>
      </w:r>
      <w:r>
        <w:rPr>
          <w:rFonts w:ascii="Times New Roman" w:hAnsi="Times New Roman" w:eastAsia="宋体" w:cs="Times New Roman"/>
          <w:sz w:val="24"/>
          <w:szCs w:val="24"/>
        </w:rPr>
        <w:t>的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80</w:t>
      </w:r>
      <w:r>
        <w:rPr>
          <w:rFonts w:ascii="Times New Roman" w:hAnsi="Times New Roman" w:eastAsia="宋体" w:cs="Times New Roman"/>
          <w:sz w:val="24"/>
          <w:szCs w:val="24"/>
        </w:rPr>
        <w:t>%比例计算土地价格的增速情况下，融资本息覆盖倍数</w:t>
      </w:r>
      <w:r>
        <w:rPr>
          <w:rFonts w:hint="eastAsia" w:ascii="Times New Roman" w:hAnsi="Times New Roman" w:eastAsia="宋体" w:cs="Times New Roman"/>
          <w:sz w:val="24"/>
          <w:szCs w:val="24"/>
        </w:rPr>
        <w:t>：</w:t>
      </w:r>
    </w:p>
    <w:p>
      <w:pPr>
        <w:spacing w:line="360" w:lineRule="auto"/>
        <w:ind w:firstLine="480" w:firstLineChars="200"/>
        <w:jc w:val="right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金额单位：万元</w:t>
      </w:r>
    </w:p>
    <w:tbl>
      <w:tblPr>
        <w:tblStyle w:val="6"/>
        <w:tblW w:w="8532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248"/>
        <w:gridCol w:w="1236"/>
        <w:gridCol w:w="1356"/>
        <w:gridCol w:w="1332"/>
        <w:gridCol w:w="912"/>
        <w:gridCol w:w="11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12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</w:p>
        </w:tc>
        <w:tc>
          <w:tcPr>
            <w:tcW w:w="3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融资本息支付</w:t>
            </w:r>
          </w:p>
        </w:tc>
        <w:tc>
          <w:tcPr>
            <w:tcW w:w="33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项目还款来源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12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本金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利息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本息合计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土地相关收益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专项收入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1,080.16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1,549.66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1,549.66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1,959.86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1,959.86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31,400.00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2,801.66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34,201.66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50,929.46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50,929.46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1,721.50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16,721.50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26,887.05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26,887.05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14,000.00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1,252.00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15,252.00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56,777.30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56,777.30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  <w:r>
              <w:rPr>
                <w:rStyle w:val="17"/>
                <w:sz w:val="18"/>
                <w:szCs w:val="18"/>
                <w:lang w:val="en-US" w:eastAsia="zh-CN" w:bidi="ar"/>
              </w:rPr>
              <w:t>年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27,600.00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841.80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28,441.80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88,000.00 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19,611.62 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107,611.62 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134,593.81 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-   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134,593.81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本息覆盖倍数</w:t>
            </w:r>
          </w:p>
        </w:tc>
        <w:tc>
          <w:tcPr>
            <w:tcW w:w="72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1.</w:t>
            </w: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</w:tbl>
    <w:p>
      <w:pPr>
        <w:spacing w:line="360" w:lineRule="auto"/>
        <w:ind w:firstLine="480" w:firstLineChars="200"/>
        <w:jc w:val="right"/>
        <w:rPr>
          <w:rFonts w:hint="eastAsia" w:ascii="Arial" w:hAnsi="Arial" w:cs="Arial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综上所述，金寨现代产业园六期棚改（二期）项目经压力测试后，其项目收益可以完全覆盖对应融资成本。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  <w:szCs w:val="24"/>
        </w:rPr>
      </w:pPr>
    </w:p>
    <w:p>
      <w:pPr>
        <w:spacing w:line="360" w:lineRule="auto"/>
        <w:jc w:val="both"/>
        <w:rPr>
          <w:rFonts w:hint="eastAsia" w:ascii="Arial" w:hAnsi="Arial" w:cs="Arial"/>
          <w:sz w:val="24"/>
          <w:szCs w:val="24"/>
        </w:rPr>
      </w:pPr>
    </w:p>
    <w:p>
      <w:pPr>
        <w:spacing w:line="360" w:lineRule="auto"/>
        <w:jc w:val="both"/>
        <w:rPr>
          <w:rFonts w:hint="eastAsia" w:ascii="Arial" w:hAnsi="Arial" w:cs="Arial"/>
          <w:sz w:val="24"/>
          <w:szCs w:val="24"/>
        </w:rPr>
      </w:pPr>
    </w:p>
    <w:p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金寨县财政局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>金寨汇金投资有限公司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Arial" w:hAnsi="Arial" w:cs="Arial"/>
          <w:sz w:val="24"/>
          <w:szCs w:val="24"/>
        </w:rPr>
        <w:t>金寨县住房和城乡建设局</w:t>
      </w:r>
    </w:p>
    <w:p>
      <w:pPr>
        <w:spacing w:line="360" w:lineRule="auto"/>
        <w:ind w:right="240" w:firstLine="480" w:firstLineChars="200"/>
        <w:jc w:val="right"/>
        <w:rPr>
          <w:rFonts w:hint="eastAsia" w:ascii="Arial" w:hAnsi="Arial" w:cs="Arial"/>
          <w:sz w:val="24"/>
          <w:szCs w:val="24"/>
        </w:rPr>
      </w:pPr>
    </w:p>
    <w:p>
      <w:pPr>
        <w:spacing w:line="360" w:lineRule="auto"/>
        <w:ind w:right="240" w:firstLine="480" w:firstLineChars="200"/>
        <w:jc w:val="right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02</w:t>
      </w:r>
      <w:r>
        <w:rPr>
          <w:rFonts w:hint="eastAsia" w:ascii="Arial" w:hAnsi="Arial" w:cs="Arial"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sz w:val="24"/>
          <w:szCs w:val="24"/>
        </w:rPr>
        <w:t>年</w:t>
      </w:r>
      <w:r>
        <w:rPr>
          <w:rFonts w:hint="eastAsia" w:ascii="Arial" w:hAnsi="Arial" w:cs="Arial"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sz w:val="24"/>
          <w:szCs w:val="24"/>
        </w:rPr>
        <w:t>月</w:t>
      </w:r>
      <w:r>
        <w:rPr>
          <w:rFonts w:hint="eastAsia" w:ascii="Arial" w:hAnsi="Arial" w:cs="Arial"/>
          <w:sz w:val="24"/>
          <w:szCs w:val="24"/>
          <w:lang w:val="en-US" w:eastAsia="zh-CN"/>
        </w:rPr>
        <w:t>15</w:t>
      </w:r>
      <w:r>
        <w:rPr>
          <w:rFonts w:hint="eastAsia" w:ascii="Arial" w:hAnsi="Arial" w:cs="Arial"/>
          <w:sz w:val="24"/>
          <w:szCs w:val="24"/>
        </w:rPr>
        <w:t>日</w:t>
      </w:r>
    </w:p>
    <w:sectPr>
      <w:footerReference r:id="rId3" w:type="default"/>
      <w:pgSz w:w="11906" w:h="16838"/>
      <w:pgMar w:top="993" w:right="1800" w:bottom="1134" w:left="1800" w:header="851" w:footer="66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92734168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733D6B"/>
    <w:multiLevelType w:val="singleLevel"/>
    <w:tmpl w:val="88733D6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FEE061C"/>
    <w:multiLevelType w:val="singleLevel"/>
    <w:tmpl w:val="FFEE061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I4ZTBlNzczNjM4MjYzMzI0YzIyM2EwNjEwZTIzNmMifQ=="/>
  </w:docVars>
  <w:rsids>
    <w:rsidRoot w:val="00262852"/>
    <w:rsid w:val="00000DF4"/>
    <w:rsid w:val="00001D87"/>
    <w:rsid w:val="0000208B"/>
    <w:rsid w:val="00002ABA"/>
    <w:rsid w:val="00007058"/>
    <w:rsid w:val="00007FD9"/>
    <w:rsid w:val="00010EAD"/>
    <w:rsid w:val="00014204"/>
    <w:rsid w:val="00014826"/>
    <w:rsid w:val="0001572C"/>
    <w:rsid w:val="00015A94"/>
    <w:rsid w:val="0001615A"/>
    <w:rsid w:val="000161D4"/>
    <w:rsid w:val="00017B84"/>
    <w:rsid w:val="00024CA1"/>
    <w:rsid w:val="00025BD2"/>
    <w:rsid w:val="0002694E"/>
    <w:rsid w:val="00033351"/>
    <w:rsid w:val="00033E79"/>
    <w:rsid w:val="00035097"/>
    <w:rsid w:val="00035F36"/>
    <w:rsid w:val="00036BA1"/>
    <w:rsid w:val="000373B9"/>
    <w:rsid w:val="00037901"/>
    <w:rsid w:val="0004087E"/>
    <w:rsid w:val="00042D15"/>
    <w:rsid w:val="00044088"/>
    <w:rsid w:val="00044C8D"/>
    <w:rsid w:val="000500EB"/>
    <w:rsid w:val="000502ED"/>
    <w:rsid w:val="000512EC"/>
    <w:rsid w:val="00051E2E"/>
    <w:rsid w:val="00052E4C"/>
    <w:rsid w:val="00055059"/>
    <w:rsid w:val="00060437"/>
    <w:rsid w:val="00060FB8"/>
    <w:rsid w:val="00061E29"/>
    <w:rsid w:val="00065CD7"/>
    <w:rsid w:val="00065F04"/>
    <w:rsid w:val="0006718C"/>
    <w:rsid w:val="000749E3"/>
    <w:rsid w:val="00077004"/>
    <w:rsid w:val="00077501"/>
    <w:rsid w:val="00080D64"/>
    <w:rsid w:val="00082D93"/>
    <w:rsid w:val="00087AC0"/>
    <w:rsid w:val="00093B76"/>
    <w:rsid w:val="00095143"/>
    <w:rsid w:val="00095E55"/>
    <w:rsid w:val="00097617"/>
    <w:rsid w:val="000A4702"/>
    <w:rsid w:val="000A5DF7"/>
    <w:rsid w:val="000B0DD9"/>
    <w:rsid w:val="000B3471"/>
    <w:rsid w:val="000B3522"/>
    <w:rsid w:val="000B6C62"/>
    <w:rsid w:val="000C25D1"/>
    <w:rsid w:val="000C34D5"/>
    <w:rsid w:val="000C3F99"/>
    <w:rsid w:val="000C46EE"/>
    <w:rsid w:val="000C4943"/>
    <w:rsid w:val="000C71A7"/>
    <w:rsid w:val="000D0E48"/>
    <w:rsid w:val="000D403D"/>
    <w:rsid w:val="000D4EB0"/>
    <w:rsid w:val="000D785C"/>
    <w:rsid w:val="000E04C3"/>
    <w:rsid w:val="000E187D"/>
    <w:rsid w:val="000E2A55"/>
    <w:rsid w:val="000E2B1C"/>
    <w:rsid w:val="000E49D0"/>
    <w:rsid w:val="000E58D9"/>
    <w:rsid w:val="000E75E6"/>
    <w:rsid w:val="000F3250"/>
    <w:rsid w:val="000F3393"/>
    <w:rsid w:val="000F4A5E"/>
    <w:rsid w:val="000F4C0B"/>
    <w:rsid w:val="000F6C55"/>
    <w:rsid w:val="000F73E2"/>
    <w:rsid w:val="00102991"/>
    <w:rsid w:val="001045EA"/>
    <w:rsid w:val="00104A26"/>
    <w:rsid w:val="00107B30"/>
    <w:rsid w:val="0011051E"/>
    <w:rsid w:val="001109B7"/>
    <w:rsid w:val="001112C8"/>
    <w:rsid w:val="00115306"/>
    <w:rsid w:val="0011691C"/>
    <w:rsid w:val="0011709E"/>
    <w:rsid w:val="00122AA4"/>
    <w:rsid w:val="0012451A"/>
    <w:rsid w:val="001259FA"/>
    <w:rsid w:val="0012634C"/>
    <w:rsid w:val="00133AC6"/>
    <w:rsid w:val="001362A0"/>
    <w:rsid w:val="001377CF"/>
    <w:rsid w:val="001414F7"/>
    <w:rsid w:val="00142718"/>
    <w:rsid w:val="00144AF2"/>
    <w:rsid w:val="00145D93"/>
    <w:rsid w:val="00151567"/>
    <w:rsid w:val="0015173B"/>
    <w:rsid w:val="001567DB"/>
    <w:rsid w:val="00157720"/>
    <w:rsid w:val="0015774D"/>
    <w:rsid w:val="001607F2"/>
    <w:rsid w:val="00160C3E"/>
    <w:rsid w:val="00164484"/>
    <w:rsid w:val="001657E4"/>
    <w:rsid w:val="00170D9F"/>
    <w:rsid w:val="00171A3E"/>
    <w:rsid w:val="0017514C"/>
    <w:rsid w:val="001755FB"/>
    <w:rsid w:val="00176474"/>
    <w:rsid w:val="00176BFF"/>
    <w:rsid w:val="001777D3"/>
    <w:rsid w:val="001779B3"/>
    <w:rsid w:val="00183F2D"/>
    <w:rsid w:val="001848A5"/>
    <w:rsid w:val="001856DE"/>
    <w:rsid w:val="00190E35"/>
    <w:rsid w:val="001911CB"/>
    <w:rsid w:val="001916AE"/>
    <w:rsid w:val="00191BD6"/>
    <w:rsid w:val="0019205B"/>
    <w:rsid w:val="001967DE"/>
    <w:rsid w:val="00197FCF"/>
    <w:rsid w:val="001A13D1"/>
    <w:rsid w:val="001A197E"/>
    <w:rsid w:val="001A1F34"/>
    <w:rsid w:val="001A217E"/>
    <w:rsid w:val="001A4635"/>
    <w:rsid w:val="001A6764"/>
    <w:rsid w:val="001A6D3C"/>
    <w:rsid w:val="001A6FC7"/>
    <w:rsid w:val="001A735E"/>
    <w:rsid w:val="001B17EA"/>
    <w:rsid w:val="001B2922"/>
    <w:rsid w:val="001B3D2E"/>
    <w:rsid w:val="001B5A23"/>
    <w:rsid w:val="001B6BB9"/>
    <w:rsid w:val="001C093F"/>
    <w:rsid w:val="001C1CB5"/>
    <w:rsid w:val="001C3330"/>
    <w:rsid w:val="001C6170"/>
    <w:rsid w:val="001C6CF5"/>
    <w:rsid w:val="001C7FE3"/>
    <w:rsid w:val="001D7825"/>
    <w:rsid w:val="001D7BD2"/>
    <w:rsid w:val="001E0F03"/>
    <w:rsid w:val="001E1984"/>
    <w:rsid w:val="001E2C03"/>
    <w:rsid w:val="001E2D92"/>
    <w:rsid w:val="001E2F09"/>
    <w:rsid w:val="001E30DE"/>
    <w:rsid w:val="001E32F1"/>
    <w:rsid w:val="001E490D"/>
    <w:rsid w:val="001E5F28"/>
    <w:rsid w:val="001E6097"/>
    <w:rsid w:val="001E6B98"/>
    <w:rsid w:val="001F0A89"/>
    <w:rsid w:val="001F131D"/>
    <w:rsid w:val="001F1DBE"/>
    <w:rsid w:val="001F3F8F"/>
    <w:rsid w:val="001F68C0"/>
    <w:rsid w:val="001F7DBD"/>
    <w:rsid w:val="001F7DF0"/>
    <w:rsid w:val="002000A6"/>
    <w:rsid w:val="002009F3"/>
    <w:rsid w:val="002039CE"/>
    <w:rsid w:val="00204F8D"/>
    <w:rsid w:val="00206FBC"/>
    <w:rsid w:val="0020774F"/>
    <w:rsid w:val="002114F2"/>
    <w:rsid w:val="002139F1"/>
    <w:rsid w:val="0021438E"/>
    <w:rsid w:val="00220C24"/>
    <w:rsid w:val="0022231D"/>
    <w:rsid w:val="00224737"/>
    <w:rsid w:val="00224D7A"/>
    <w:rsid w:val="00224FD5"/>
    <w:rsid w:val="002304F3"/>
    <w:rsid w:val="00230963"/>
    <w:rsid w:val="00230EBB"/>
    <w:rsid w:val="002326B4"/>
    <w:rsid w:val="00233565"/>
    <w:rsid w:val="00236708"/>
    <w:rsid w:val="002367EC"/>
    <w:rsid w:val="00236D28"/>
    <w:rsid w:val="00240BE0"/>
    <w:rsid w:val="00240F4C"/>
    <w:rsid w:val="00240F6B"/>
    <w:rsid w:val="00242B37"/>
    <w:rsid w:val="00243E17"/>
    <w:rsid w:val="00244264"/>
    <w:rsid w:val="00244579"/>
    <w:rsid w:val="00245ADB"/>
    <w:rsid w:val="00245F9E"/>
    <w:rsid w:val="00253A7D"/>
    <w:rsid w:val="00254A2D"/>
    <w:rsid w:val="002551AA"/>
    <w:rsid w:val="00255217"/>
    <w:rsid w:val="002554DB"/>
    <w:rsid w:val="00255F69"/>
    <w:rsid w:val="00256E7B"/>
    <w:rsid w:val="00257379"/>
    <w:rsid w:val="00261D9E"/>
    <w:rsid w:val="00262852"/>
    <w:rsid w:val="002632C4"/>
    <w:rsid w:val="002639F3"/>
    <w:rsid w:val="00265122"/>
    <w:rsid w:val="0026604C"/>
    <w:rsid w:val="002677E9"/>
    <w:rsid w:val="00272606"/>
    <w:rsid w:val="00273039"/>
    <w:rsid w:val="0027654F"/>
    <w:rsid w:val="002765D4"/>
    <w:rsid w:val="002776A8"/>
    <w:rsid w:val="0028275E"/>
    <w:rsid w:val="002828BB"/>
    <w:rsid w:val="0028416D"/>
    <w:rsid w:val="002853E6"/>
    <w:rsid w:val="00286561"/>
    <w:rsid w:val="002932D7"/>
    <w:rsid w:val="002970B8"/>
    <w:rsid w:val="00297A02"/>
    <w:rsid w:val="002A2859"/>
    <w:rsid w:val="002A42A4"/>
    <w:rsid w:val="002A6D32"/>
    <w:rsid w:val="002A707E"/>
    <w:rsid w:val="002B0474"/>
    <w:rsid w:val="002B1150"/>
    <w:rsid w:val="002B15B8"/>
    <w:rsid w:val="002B30DE"/>
    <w:rsid w:val="002B3C66"/>
    <w:rsid w:val="002B53E8"/>
    <w:rsid w:val="002B63D5"/>
    <w:rsid w:val="002B710C"/>
    <w:rsid w:val="002C0375"/>
    <w:rsid w:val="002C3DB9"/>
    <w:rsid w:val="002C451D"/>
    <w:rsid w:val="002D00EE"/>
    <w:rsid w:val="002D32B6"/>
    <w:rsid w:val="002D4344"/>
    <w:rsid w:val="002D6E7D"/>
    <w:rsid w:val="002D7667"/>
    <w:rsid w:val="002E0C7D"/>
    <w:rsid w:val="002E12AA"/>
    <w:rsid w:val="002E2FCE"/>
    <w:rsid w:val="002E5F5D"/>
    <w:rsid w:val="002E5FD7"/>
    <w:rsid w:val="002E671D"/>
    <w:rsid w:val="002F1397"/>
    <w:rsid w:val="002F2559"/>
    <w:rsid w:val="002F2821"/>
    <w:rsid w:val="002F35B9"/>
    <w:rsid w:val="002F62FF"/>
    <w:rsid w:val="0030135D"/>
    <w:rsid w:val="0030279D"/>
    <w:rsid w:val="00302B66"/>
    <w:rsid w:val="003038C5"/>
    <w:rsid w:val="003055ED"/>
    <w:rsid w:val="00306E87"/>
    <w:rsid w:val="0030727C"/>
    <w:rsid w:val="00314365"/>
    <w:rsid w:val="0032395D"/>
    <w:rsid w:val="00324421"/>
    <w:rsid w:val="00324554"/>
    <w:rsid w:val="003254F3"/>
    <w:rsid w:val="00326098"/>
    <w:rsid w:val="00332488"/>
    <w:rsid w:val="00332E53"/>
    <w:rsid w:val="003351DD"/>
    <w:rsid w:val="00336B52"/>
    <w:rsid w:val="00342803"/>
    <w:rsid w:val="0034350C"/>
    <w:rsid w:val="0034409C"/>
    <w:rsid w:val="00344713"/>
    <w:rsid w:val="003456A2"/>
    <w:rsid w:val="0035071A"/>
    <w:rsid w:val="00354BC7"/>
    <w:rsid w:val="00354ED4"/>
    <w:rsid w:val="00357323"/>
    <w:rsid w:val="003574E3"/>
    <w:rsid w:val="0036086E"/>
    <w:rsid w:val="00361F87"/>
    <w:rsid w:val="003621E8"/>
    <w:rsid w:val="00363016"/>
    <w:rsid w:val="00363133"/>
    <w:rsid w:val="00365AEA"/>
    <w:rsid w:val="00370395"/>
    <w:rsid w:val="00371A3E"/>
    <w:rsid w:val="00372ABA"/>
    <w:rsid w:val="00374F3A"/>
    <w:rsid w:val="0037638C"/>
    <w:rsid w:val="00376AD4"/>
    <w:rsid w:val="00381230"/>
    <w:rsid w:val="00383041"/>
    <w:rsid w:val="003832B6"/>
    <w:rsid w:val="003868C3"/>
    <w:rsid w:val="003876CD"/>
    <w:rsid w:val="0039262E"/>
    <w:rsid w:val="00397336"/>
    <w:rsid w:val="00397728"/>
    <w:rsid w:val="0039781C"/>
    <w:rsid w:val="003A2186"/>
    <w:rsid w:val="003A28CF"/>
    <w:rsid w:val="003A2B58"/>
    <w:rsid w:val="003A7144"/>
    <w:rsid w:val="003B03DB"/>
    <w:rsid w:val="003B2503"/>
    <w:rsid w:val="003B341E"/>
    <w:rsid w:val="003B3840"/>
    <w:rsid w:val="003B3FF0"/>
    <w:rsid w:val="003B505F"/>
    <w:rsid w:val="003B78C9"/>
    <w:rsid w:val="003C0679"/>
    <w:rsid w:val="003C209B"/>
    <w:rsid w:val="003C234C"/>
    <w:rsid w:val="003C4C07"/>
    <w:rsid w:val="003C6C72"/>
    <w:rsid w:val="003C78A9"/>
    <w:rsid w:val="003D0AF1"/>
    <w:rsid w:val="003D5ABF"/>
    <w:rsid w:val="003E25DB"/>
    <w:rsid w:val="003E57C0"/>
    <w:rsid w:val="003F0394"/>
    <w:rsid w:val="003F17C7"/>
    <w:rsid w:val="003F1A8E"/>
    <w:rsid w:val="003F46DE"/>
    <w:rsid w:val="003F5EBD"/>
    <w:rsid w:val="0040045E"/>
    <w:rsid w:val="0040122A"/>
    <w:rsid w:val="00404D1A"/>
    <w:rsid w:val="00404FE7"/>
    <w:rsid w:val="00406E34"/>
    <w:rsid w:val="00410386"/>
    <w:rsid w:val="0041296E"/>
    <w:rsid w:val="00412BD0"/>
    <w:rsid w:val="004132A3"/>
    <w:rsid w:val="00415A5E"/>
    <w:rsid w:val="00415D59"/>
    <w:rsid w:val="00415DDF"/>
    <w:rsid w:val="004169E1"/>
    <w:rsid w:val="004219A2"/>
    <w:rsid w:val="00422214"/>
    <w:rsid w:val="00422F91"/>
    <w:rsid w:val="00427757"/>
    <w:rsid w:val="00427ACC"/>
    <w:rsid w:val="00432FAF"/>
    <w:rsid w:val="0043380F"/>
    <w:rsid w:val="00435E3C"/>
    <w:rsid w:val="004435F8"/>
    <w:rsid w:val="00444334"/>
    <w:rsid w:val="0045001D"/>
    <w:rsid w:val="00450540"/>
    <w:rsid w:val="00450B69"/>
    <w:rsid w:val="004514D4"/>
    <w:rsid w:val="0045160E"/>
    <w:rsid w:val="00451CFC"/>
    <w:rsid w:val="004528F5"/>
    <w:rsid w:val="004537B6"/>
    <w:rsid w:val="00453C91"/>
    <w:rsid w:val="00454820"/>
    <w:rsid w:val="00457E38"/>
    <w:rsid w:val="0046448C"/>
    <w:rsid w:val="00466AEB"/>
    <w:rsid w:val="00467146"/>
    <w:rsid w:val="004679F8"/>
    <w:rsid w:val="00467B46"/>
    <w:rsid w:val="0047084E"/>
    <w:rsid w:val="00471E60"/>
    <w:rsid w:val="00472F98"/>
    <w:rsid w:val="0047560C"/>
    <w:rsid w:val="00475D9D"/>
    <w:rsid w:val="0047780C"/>
    <w:rsid w:val="00482A08"/>
    <w:rsid w:val="00483939"/>
    <w:rsid w:val="004843F5"/>
    <w:rsid w:val="00485AE6"/>
    <w:rsid w:val="0048608F"/>
    <w:rsid w:val="00490EF6"/>
    <w:rsid w:val="004919D6"/>
    <w:rsid w:val="004927FE"/>
    <w:rsid w:val="004A1FB4"/>
    <w:rsid w:val="004A30B4"/>
    <w:rsid w:val="004A3C91"/>
    <w:rsid w:val="004B0A0B"/>
    <w:rsid w:val="004B12C8"/>
    <w:rsid w:val="004B16AA"/>
    <w:rsid w:val="004B484A"/>
    <w:rsid w:val="004B4DAE"/>
    <w:rsid w:val="004C1919"/>
    <w:rsid w:val="004C439E"/>
    <w:rsid w:val="004C5B7B"/>
    <w:rsid w:val="004C612E"/>
    <w:rsid w:val="004C621F"/>
    <w:rsid w:val="004C7869"/>
    <w:rsid w:val="004D010A"/>
    <w:rsid w:val="004D0CF6"/>
    <w:rsid w:val="004D0EB2"/>
    <w:rsid w:val="004D3CED"/>
    <w:rsid w:val="004E0BE7"/>
    <w:rsid w:val="004E1884"/>
    <w:rsid w:val="004E425A"/>
    <w:rsid w:val="004E44AB"/>
    <w:rsid w:val="004E5FF8"/>
    <w:rsid w:val="004E640E"/>
    <w:rsid w:val="004E6506"/>
    <w:rsid w:val="004E7C78"/>
    <w:rsid w:val="004F25DF"/>
    <w:rsid w:val="004F269D"/>
    <w:rsid w:val="004F61F2"/>
    <w:rsid w:val="004F776D"/>
    <w:rsid w:val="005019CB"/>
    <w:rsid w:val="00502D51"/>
    <w:rsid w:val="00503878"/>
    <w:rsid w:val="00505AE6"/>
    <w:rsid w:val="005077FC"/>
    <w:rsid w:val="0051036C"/>
    <w:rsid w:val="00511008"/>
    <w:rsid w:val="00511431"/>
    <w:rsid w:val="00511FCD"/>
    <w:rsid w:val="00513C34"/>
    <w:rsid w:val="005140F2"/>
    <w:rsid w:val="00514EB8"/>
    <w:rsid w:val="0051645B"/>
    <w:rsid w:val="005165DB"/>
    <w:rsid w:val="00517901"/>
    <w:rsid w:val="0052214F"/>
    <w:rsid w:val="0052290E"/>
    <w:rsid w:val="00522B97"/>
    <w:rsid w:val="005241FF"/>
    <w:rsid w:val="00525CB7"/>
    <w:rsid w:val="00530058"/>
    <w:rsid w:val="00531127"/>
    <w:rsid w:val="00535AB0"/>
    <w:rsid w:val="005368DC"/>
    <w:rsid w:val="00537676"/>
    <w:rsid w:val="0054064F"/>
    <w:rsid w:val="00542D11"/>
    <w:rsid w:val="005467D8"/>
    <w:rsid w:val="00552873"/>
    <w:rsid w:val="0055325A"/>
    <w:rsid w:val="00555111"/>
    <w:rsid w:val="00555AFC"/>
    <w:rsid w:val="00560262"/>
    <w:rsid w:val="0056131C"/>
    <w:rsid w:val="00562897"/>
    <w:rsid w:val="0056662C"/>
    <w:rsid w:val="00567DEF"/>
    <w:rsid w:val="005704DA"/>
    <w:rsid w:val="00572F92"/>
    <w:rsid w:val="005734A6"/>
    <w:rsid w:val="00573CCD"/>
    <w:rsid w:val="005741FA"/>
    <w:rsid w:val="00577603"/>
    <w:rsid w:val="005776CA"/>
    <w:rsid w:val="00577F59"/>
    <w:rsid w:val="00582096"/>
    <w:rsid w:val="00587213"/>
    <w:rsid w:val="0058762B"/>
    <w:rsid w:val="0059137B"/>
    <w:rsid w:val="0059256F"/>
    <w:rsid w:val="00592AFD"/>
    <w:rsid w:val="005952F5"/>
    <w:rsid w:val="005A2BAB"/>
    <w:rsid w:val="005A6650"/>
    <w:rsid w:val="005B13E1"/>
    <w:rsid w:val="005B3B3E"/>
    <w:rsid w:val="005B516F"/>
    <w:rsid w:val="005C0F9E"/>
    <w:rsid w:val="005D07AD"/>
    <w:rsid w:val="005D0BA8"/>
    <w:rsid w:val="005D2D81"/>
    <w:rsid w:val="005D468C"/>
    <w:rsid w:val="005D5544"/>
    <w:rsid w:val="005D5CDE"/>
    <w:rsid w:val="005E2DEC"/>
    <w:rsid w:val="005F2E35"/>
    <w:rsid w:val="005F3B34"/>
    <w:rsid w:val="005F5FC7"/>
    <w:rsid w:val="005F6715"/>
    <w:rsid w:val="005F6DCC"/>
    <w:rsid w:val="005F6EAB"/>
    <w:rsid w:val="005F7376"/>
    <w:rsid w:val="005F7E02"/>
    <w:rsid w:val="00600775"/>
    <w:rsid w:val="006056F4"/>
    <w:rsid w:val="006112DA"/>
    <w:rsid w:val="00612896"/>
    <w:rsid w:val="00614D6D"/>
    <w:rsid w:val="00616748"/>
    <w:rsid w:val="00617384"/>
    <w:rsid w:val="006211E7"/>
    <w:rsid w:val="00623A6F"/>
    <w:rsid w:val="00623F36"/>
    <w:rsid w:val="0062448A"/>
    <w:rsid w:val="00627115"/>
    <w:rsid w:val="00630DF6"/>
    <w:rsid w:val="00631257"/>
    <w:rsid w:val="00631D68"/>
    <w:rsid w:val="00643B56"/>
    <w:rsid w:val="00644B71"/>
    <w:rsid w:val="00646A79"/>
    <w:rsid w:val="0064721B"/>
    <w:rsid w:val="0064743C"/>
    <w:rsid w:val="00652EBC"/>
    <w:rsid w:val="00653ACF"/>
    <w:rsid w:val="0067020F"/>
    <w:rsid w:val="00681347"/>
    <w:rsid w:val="00683588"/>
    <w:rsid w:val="00686231"/>
    <w:rsid w:val="006963F4"/>
    <w:rsid w:val="0069678F"/>
    <w:rsid w:val="006A0276"/>
    <w:rsid w:val="006A1213"/>
    <w:rsid w:val="006A27E6"/>
    <w:rsid w:val="006A4564"/>
    <w:rsid w:val="006A6059"/>
    <w:rsid w:val="006A7C8D"/>
    <w:rsid w:val="006B0809"/>
    <w:rsid w:val="006B1D29"/>
    <w:rsid w:val="006B214B"/>
    <w:rsid w:val="006B270F"/>
    <w:rsid w:val="006B3AA5"/>
    <w:rsid w:val="006B48D4"/>
    <w:rsid w:val="006C3B7C"/>
    <w:rsid w:val="006C47D5"/>
    <w:rsid w:val="006C4863"/>
    <w:rsid w:val="006C4BBA"/>
    <w:rsid w:val="006C4EB9"/>
    <w:rsid w:val="006C52AD"/>
    <w:rsid w:val="006D00C5"/>
    <w:rsid w:val="006D68B5"/>
    <w:rsid w:val="006E08C5"/>
    <w:rsid w:val="006E514B"/>
    <w:rsid w:val="006E5ADB"/>
    <w:rsid w:val="006E6946"/>
    <w:rsid w:val="006E70EA"/>
    <w:rsid w:val="006E7724"/>
    <w:rsid w:val="006E7946"/>
    <w:rsid w:val="006F0035"/>
    <w:rsid w:val="006F072E"/>
    <w:rsid w:val="006F07B5"/>
    <w:rsid w:val="006F1054"/>
    <w:rsid w:val="006F1888"/>
    <w:rsid w:val="006F20C6"/>
    <w:rsid w:val="006F2425"/>
    <w:rsid w:val="006F5163"/>
    <w:rsid w:val="006F543E"/>
    <w:rsid w:val="006F6A69"/>
    <w:rsid w:val="006F6B92"/>
    <w:rsid w:val="00700B61"/>
    <w:rsid w:val="007012FF"/>
    <w:rsid w:val="00701E0A"/>
    <w:rsid w:val="00702B6D"/>
    <w:rsid w:val="007049C1"/>
    <w:rsid w:val="0070577F"/>
    <w:rsid w:val="007064B3"/>
    <w:rsid w:val="007105DA"/>
    <w:rsid w:val="00712C81"/>
    <w:rsid w:val="00714198"/>
    <w:rsid w:val="00714356"/>
    <w:rsid w:val="007211F6"/>
    <w:rsid w:val="00721EDE"/>
    <w:rsid w:val="00722F55"/>
    <w:rsid w:val="007237DB"/>
    <w:rsid w:val="00724463"/>
    <w:rsid w:val="007254A7"/>
    <w:rsid w:val="00726025"/>
    <w:rsid w:val="00732DBF"/>
    <w:rsid w:val="00733747"/>
    <w:rsid w:val="00735351"/>
    <w:rsid w:val="007365A5"/>
    <w:rsid w:val="0073671D"/>
    <w:rsid w:val="00737659"/>
    <w:rsid w:val="0074168A"/>
    <w:rsid w:val="00741A66"/>
    <w:rsid w:val="00742E2C"/>
    <w:rsid w:val="00743347"/>
    <w:rsid w:val="00745BAA"/>
    <w:rsid w:val="00746DB2"/>
    <w:rsid w:val="007508DA"/>
    <w:rsid w:val="00750DA4"/>
    <w:rsid w:val="00750E1B"/>
    <w:rsid w:val="00753518"/>
    <w:rsid w:val="00757D88"/>
    <w:rsid w:val="0076079E"/>
    <w:rsid w:val="00761291"/>
    <w:rsid w:val="00765752"/>
    <w:rsid w:val="0076621E"/>
    <w:rsid w:val="007727B3"/>
    <w:rsid w:val="00772E77"/>
    <w:rsid w:val="0077686D"/>
    <w:rsid w:val="00776A80"/>
    <w:rsid w:val="00783FA8"/>
    <w:rsid w:val="007846A2"/>
    <w:rsid w:val="00785C58"/>
    <w:rsid w:val="0079776C"/>
    <w:rsid w:val="007A108E"/>
    <w:rsid w:val="007A1A9C"/>
    <w:rsid w:val="007A3749"/>
    <w:rsid w:val="007A516D"/>
    <w:rsid w:val="007B1507"/>
    <w:rsid w:val="007B1C41"/>
    <w:rsid w:val="007B1D93"/>
    <w:rsid w:val="007C0905"/>
    <w:rsid w:val="007C2315"/>
    <w:rsid w:val="007C39BD"/>
    <w:rsid w:val="007C4461"/>
    <w:rsid w:val="007C5CD8"/>
    <w:rsid w:val="007C5D93"/>
    <w:rsid w:val="007D0DAC"/>
    <w:rsid w:val="007D19B3"/>
    <w:rsid w:val="007D2DE5"/>
    <w:rsid w:val="007D5437"/>
    <w:rsid w:val="007D6B74"/>
    <w:rsid w:val="007D73DF"/>
    <w:rsid w:val="007D7DAA"/>
    <w:rsid w:val="007E356A"/>
    <w:rsid w:val="007E3AAB"/>
    <w:rsid w:val="007E44A1"/>
    <w:rsid w:val="007E560F"/>
    <w:rsid w:val="007E62A9"/>
    <w:rsid w:val="007E6D09"/>
    <w:rsid w:val="007F3576"/>
    <w:rsid w:val="007F47F8"/>
    <w:rsid w:val="007F6C25"/>
    <w:rsid w:val="007F744D"/>
    <w:rsid w:val="008013A1"/>
    <w:rsid w:val="008015AC"/>
    <w:rsid w:val="00801F8F"/>
    <w:rsid w:val="00801FD2"/>
    <w:rsid w:val="00803074"/>
    <w:rsid w:val="00804427"/>
    <w:rsid w:val="00804D7C"/>
    <w:rsid w:val="00806564"/>
    <w:rsid w:val="00810053"/>
    <w:rsid w:val="00810124"/>
    <w:rsid w:val="00823BF7"/>
    <w:rsid w:val="00824EA7"/>
    <w:rsid w:val="008256FF"/>
    <w:rsid w:val="00830526"/>
    <w:rsid w:val="00831E4B"/>
    <w:rsid w:val="0083736E"/>
    <w:rsid w:val="008502C2"/>
    <w:rsid w:val="008503D9"/>
    <w:rsid w:val="00852448"/>
    <w:rsid w:val="008524D6"/>
    <w:rsid w:val="008530DD"/>
    <w:rsid w:val="0085584E"/>
    <w:rsid w:val="00855E20"/>
    <w:rsid w:val="00856696"/>
    <w:rsid w:val="008567A2"/>
    <w:rsid w:val="00856CC5"/>
    <w:rsid w:val="008600E7"/>
    <w:rsid w:val="00860235"/>
    <w:rsid w:val="00862C43"/>
    <w:rsid w:val="00863B03"/>
    <w:rsid w:val="00863B45"/>
    <w:rsid w:val="00872FD1"/>
    <w:rsid w:val="0087490A"/>
    <w:rsid w:val="00874A60"/>
    <w:rsid w:val="00876AC9"/>
    <w:rsid w:val="008800FC"/>
    <w:rsid w:val="0088212E"/>
    <w:rsid w:val="0088294A"/>
    <w:rsid w:val="00887903"/>
    <w:rsid w:val="008913F6"/>
    <w:rsid w:val="0089175E"/>
    <w:rsid w:val="00893B59"/>
    <w:rsid w:val="00894653"/>
    <w:rsid w:val="00894839"/>
    <w:rsid w:val="0089565B"/>
    <w:rsid w:val="00897161"/>
    <w:rsid w:val="00897F05"/>
    <w:rsid w:val="008A1210"/>
    <w:rsid w:val="008A33E8"/>
    <w:rsid w:val="008A63D5"/>
    <w:rsid w:val="008A6879"/>
    <w:rsid w:val="008A6C70"/>
    <w:rsid w:val="008A760D"/>
    <w:rsid w:val="008B0E55"/>
    <w:rsid w:val="008B1499"/>
    <w:rsid w:val="008B248E"/>
    <w:rsid w:val="008B2D87"/>
    <w:rsid w:val="008B6512"/>
    <w:rsid w:val="008B6567"/>
    <w:rsid w:val="008B7E24"/>
    <w:rsid w:val="008C1402"/>
    <w:rsid w:val="008C3A2A"/>
    <w:rsid w:val="008C3E94"/>
    <w:rsid w:val="008C5F50"/>
    <w:rsid w:val="008D5186"/>
    <w:rsid w:val="008D57B8"/>
    <w:rsid w:val="008D6D1C"/>
    <w:rsid w:val="008E1B54"/>
    <w:rsid w:val="008E5068"/>
    <w:rsid w:val="008E5A8F"/>
    <w:rsid w:val="008E712F"/>
    <w:rsid w:val="008F0CDB"/>
    <w:rsid w:val="008F6016"/>
    <w:rsid w:val="008F780A"/>
    <w:rsid w:val="00900362"/>
    <w:rsid w:val="0090177E"/>
    <w:rsid w:val="00905C34"/>
    <w:rsid w:val="00906FFB"/>
    <w:rsid w:val="00913353"/>
    <w:rsid w:val="00916599"/>
    <w:rsid w:val="00917C5C"/>
    <w:rsid w:val="00917E24"/>
    <w:rsid w:val="009232CF"/>
    <w:rsid w:val="00923CA8"/>
    <w:rsid w:val="00924328"/>
    <w:rsid w:val="00927F0F"/>
    <w:rsid w:val="00930241"/>
    <w:rsid w:val="00933E2C"/>
    <w:rsid w:val="009348F1"/>
    <w:rsid w:val="0094016A"/>
    <w:rsid w:val="00940A94"/>
    <w:rsid w:val="009424AD"/>
    <w:rsid w:val="00942C35"/>
    <w:rsid w:val="00942FA8"/>
    <w:rsid w:val="00943A90"/>
    <w:rsid w:val="00946C6C"/>
    <w:rsid w:val="00946EC2"/>
    <w:rsid w:val="009476E8"/>
    <w:rsid w:val="00947D5C"/>
    <w:rsid w:val="0095275C"/>
    <w:rsid w:val="00957C24"/>
    <w:rsid w:val="00960F9E"/>
    <w:rsid w:val="00961804"/>
    <w:rsid w:val="009626B6"/>
    <w:rsid w:val="00964588"/>
    <w:rsid w:val="0096471C"/>
    <w:rsid w:val="00966949"/>
    <w:rsid w:val="009678C5"/>
    <w:rsid w:val="009724BD"/>
    <w:rsid w:val="0097505C"/>
    <w:rsid w:val="009807B6"/>
    <w:rsid w:val="00981BF9"/>
    <w:rsid w:val="009843AE"/>
    <w:rsid w:val="00984C1C"/>
    <w:rsid w:val="00986633"/>
    <w:rsid w:val="00992789"/>
    <w:rsid w:val="0099462F"/>
    <w:rsid w:val="00995182"/>
    <w:rsid w:val="00996865"/>
    <w:rsid w:val="00997836"/>
    <w:rsid w:val="009A118D"/>
    <w:rsid w:val="009A1B49"/>
    <w:rsid w:val="009A28CD"/>
    <w:rsid w:val="009A45DB"/>
    <w:rsid w:val="009A4B59"/>
    <w:rsid w:val="009A5405"/>
    <w:rsid w:val="009B0D5E"/>
    <w:rsid w:val="009B0F4C"/>
    <w:rsid w:val="009B319B"/>
    <w:rsid w:val="009B41DF"/>
    <w:rsid w:val="009C18CC"/>
    <w:rsid w:val="009C31B4"/>
    <w:rsid w:val="009C5022"/>
    <w:rsid w:val="009C63A6"/>
    <w:rsid w:val="009D14BF"/>
    <w:rsid w:val="009D2E81"/>
    <w:rsid w:val="009D4AA0"/>
    <w:rsid w:val="009D6C09"/>
    <w:rsid w:val="009E10F7"/>
    <w:rsid w:val="009E27FA"/>
    <w:rsid w:val="009E2969"/>
    <w:rsid w:val="009E3424"/>
    <w:rsid w:val="009E3828"/>
    <w:rsid w:val="009E4DEC"/>
    <w:rsid w:val="009E6B82"/>
    <w:rsid w:val="009F01AA"/>
    <w:rsid w:val="009F13AD"/>
    <w:rsid w:val="009F16B2"/>
    <w:rsid w:val="009F31AF"/>
    <w:rsid w:val="009F335D"/>
    <w:rsid w:val="009F434A"/>
    <w:rsid w:val="009F7E85"/>
    <w:rsid w:val="00A01D76"/>
    <w:rsid w:val="00A0214C"/>
    <w:rsid w:val="00A06C1D"/>
    <w:rsid w:val="00A11CCB"/>
    <w:rsid w:val="00A1244F"/>
    <w:rsid w:val="00A167EC"/>
    <w:rsid w:val="00A20908"/>
    <w:rsid w:val="00A21AEC"/>
    <w:rsid w:val="00A30E27"/>
    <w:rsid w:val="00A32B8B"/>
    <w:rsid w:val="00A33D86"/>
    <w:rsid w:val="00A3498E"/>
    <w:rsid w:val="00A37DA3"/>
    <w:rsid w:val="00A40C41"/>
    <w:rsid w:val="00A442D7"/>
    <w:rsid w:val="00A52123"/>
    <w:rsid w:val="00A52F74"/>
    <w:rsid w:val="00A56ABF"/>
    <w:rsid w:val="00A60535"/>
    <w:rsid w:val="00A60EF2"/>
    <w:rsid w:val="00A6146A"/>
    <w:rsid w:val="00A6521D"/>
    <w:rsid w:val="00A67652"/>
    <w:rsid w:val="00A74CCB"/>
    <w:rsid w:val="00A756BC"/>
    <w:rsid w:val="00A75D8B"/>
    <w:rsid w:val="00A75F1A"/>
    <w:rsid w:val="00A80C7C"/>
    <w:rsid w:val="00A857B5"/>
    <w:rsid w:val="00A90093"/>
    <w:rsid w:val="00A9129F"/>
    <w:rsid w:val="00A91676"/>
    <w:rsid w:val="00A91BDA"/>
    <w:rsid w:val="00A92F55"/>
    <w:rsid w:val="00A95B57"/>
    <w:rsid w:val="00A96848"/>
    <w:rsid w:val="00AA0A06"/>
    <w:rsid w:val="00AA7799"/>
    <w:rsid w:val="00AA7EE8"/>
    <w:rsid w:val="00AB096E"/>
    <w:rsid w:val="00AB0C07"/>
    <w:rsid w:val="00AB61A4"/>
    <w:rsid w:val="00AC16DE"/>
    <w:rsid w:val="00AC190A"/>
    <w:rsid w:val="00AC1AF9"/>
    <w:rsid w:val="00AC1C25"/>
    <w:rsid w:val="00AC2857"/>
    <w:rsid w:val="00AC2E87"/>
    <w:rsid w:val="00AC3388"/>
    <w:rsid w:val="00AC4E63"/>
    <w:rsid w:val="00AC5540"/>
    <w:rsid w:val="00AC5E42"/>
    <w:rsid w:val="00AD002A"/>
    <w:rsid w:val="00AD0036"/>
    <w:rsid w:val="00AD6810"/>
    <w:rsid w:val="00AD7F5E"/>
    <w:rsid w:val="00AE0C2F"/>
    <w:rsid w:val="00AE13A2"/>
    <w:rsid w:val="00AE2080"/>
    <w:rsid w:val="00AE2469"/>
    <w:rsid w:val="00AE310E"/>
    <w:rsid w:val="00AE465B"/>
    <w:rsid w:val="00AE5043"/>
    <w:rsid w:val="00AE520C"/>
    <w:rsid w:val="00AE5E40"/>
    <w:rsid w:val="00AF0A67"/>
    <w:rsid w:val="00AF13EB"/>
    <w:rsid w:val="00AF1EFC"/>
    <w:rsid w:val="00AF30AD"/>
    <w:rsid w:val="00AF46EC"/>
    <w:rsid w:val="00AF4B4B"/>
    <w:rsid w:val="00AF4BB7"/>
    <w:rsid w:val="00AF7067"/>
    <w:rsid w:val="00B0479F"/>
    <w:rsid w:val="00B06C3A"/>
    <w:rsid w:val="00B079AC"/>
    <w:rsid w:val="00B1132C"/>
    <w:rsid w:val="00B11DDA"/>
    <w:rsid w:val="00B11FE9"/>
    <w:rsid w:val="00B13132"/>
    <w:rsid w:val="00B15D52"/>
    <w:rsid w:val="00B16CB7"/>
    <w:rsid w:val="00B179DE"/>
    <w:rsid w:val="00B214D2"/>
    <w:rsid w:val="00B221D1"/>
    <w:rsid w:val="00B23876"/>
    <w:rsid w:val="00B239D2"/>
    <w:rsid w:val="00B24440"/>
    <w:rsid w:val="00B2498D"/>
    <w:rsid w:val="00B24D01"/>
    <w:rsid w:val="00B24FEB"/>
    <w:rsid w:val="00B25A2A"/>
    <w:rsid w:val="00B26FAE"/>
    <w:rsid w:val="00B35057"/>
    <w:rsid w:val="00B364A3"/>
    <w:rsid w:val="00B417E6"/>
    <w:rsid w:val="00B4185A"/>
    <w:rsid w:val="00B42B6C"/>
    <w:rsid w:val="00B45613"/>
    <w:rsid w:val="00B47D04"/>
    <w:rsid w:val="00B47D33"/>
    <w:rsid w:val="00B530D3"/>
    <w:rsid w:val="00B566DD"/>
    <w:rsid w:val="00B56C7B"/>
    <w:rsid w:val="00B6407D"/>
    <w:rsid w:val="00B64FAF"/>
    <w:rsid w:val="00B727AA"/>
    <w:rsid w:val="00B72E2D"/>
    <w:rsid w:val="00B74464"/>
    <w:rsid w:val="00B74BE0"/>
    <w:rsid w:val="00B76F2B"/>
    <w:rsid w:val="00B7715C"/>
    <w:rsid w:val="00B777D8"/>
    <w:rsid w:val="00B84782"/>
    <w:rsid w:val="00B87A3F"/>
    <w:rsid w:val="00B9110B"/>
    <w:rsid w:val="00B9630F"/>
    <w:rsid w:val="00B97650"/>
    <w:rsid w:val="00BA3D98"/>
    <w:rsid w:val="00BA4434"/>
    <w:rsid w:val="00BA49DB"/>
    <w:rsid w:val="00BA4E9F"/>
    <w:rsid w:val="00BA4F8D"/>
    <w:rsid w:val="00BA5E6A"/>
    <w:rsid w:val="00BA63AD"/>
    <w:rsid w:val="00BA6643"/>
    <w:rsid w:val="00BA6C5A"/>
    <w:rsid w:val="00BA6F34"/>
    <w:rsid w:val="00BB116B"/>
    <w:rsid w:val="00BB3601"/>
    <w:rsid w:val="00BB3C61"/>
    <w:rsid w:val="00BB4182"/>
    <w:rsid w:val="00BB6A3C"/>
    <w:rsid w:val="00BC369E"/>
    <w:rsid w:val="00BC4F3D"/>
    <w:rsid w:val="00BC550D"/>
    <w:rsid w:val="00BC68D7"/>
    <w:rsid w:val="00BC6C0C"/>
    <w:rsid w:val="00BC757B"/>
    <w:rsid w:val="00BD0B1B"/>
    <w:rsid w:val="00BD0F78"/>
    <w:rsid w:val="00BD456A"/>
    <w:rsid w:val="00BD55F0"/>
    <w:rsid w:val="00BD60F7"/>
    <w:rsid w:val="00BD6143"/>
    <w:rsid w:val="00BE0988"/>
    <w:rsid w:val="00BE16F1"/>
    <w:rsid w:val="00BE4BC4"/>
    <w:rsid w:val="00BE4F16"/>
    <w:rsid w:val="00BE5B9C"/>
    <w:rsid w:val="00BE5BB7"/>
    <w:rsid w:val="00BE72C5"/>
    <w:rsid w:val="00BE73C8"/>
    <w:rsid w:val="00BF27E8"/>
    <w:rsid w:val="00BF58AF"/>
    <w:rsid w:val="00BF7757"/>
    <w:rsid w:val="00C01A1C"/>
    <w:rsid w:val="00C0525C"/>
    <w:rsid w:val="00C066DE"/>
    <w:rsid w:val="00C06FB0"/>
    <w:rsid w:val="00C07D68"/>
    <w:rsid w:val="00C112E9"/>
    <w:rsid w:val="00C1260D"/>
    <w:rsid w:val="00C12B1D"/>
    <w:rsid w:val="00C178A0"/>
    <w:rsid w:val="00C22543"/>
    <w:rsid w:val="00C22995"/>
    <w:rsid w:val="00C23AA9"/>
    <w:rsid w:val="00C24678"/>
    <w:rsid w:val="00C2548B"/>
    <w:rsid w:val="00C27833"/>
    <w:rsid w:val="00C27F42"/>
    <w:rsid w:val="00C3318B"/>
    <w:rsid w:val="00C33E72"/>
    <w:rsid w:val="00C343FE"/>
    <w:rsid w:val="00C3755D"/>
    <w:rsid w:val="00C4594C"/>
    <w:rsid w:val="00C45EB3"/>
    <w:rsid w:val="00C54D26"/>
    <w:rsid w:val="00C5565B"/>
    <w:rsid w:val="00C55800"/>
    <w:rsid w:val="00C57DA3"/>
    <w:rsid w:val="00C61385"/>
    <w:rsid w:val="00C617A0"/>
    <w:rsid w:val="00C623D8"/>
    <w:rsid w:val="00C62BD7"/>
    <w:rsid w:val="00C6770E"/>
    <w:rsid w:val="00C71F96"/>
    <w:rsid w:val="00C74059"/>
    <w:rsid w:val="00C745B8"/>
    <w:rsid w:val="00C76760"/>
    <w:rsid w:val="00C76F7A"/>
    <w:rsid w:val="00C847A1"/>
    <w:rsid w:val="00C856B5"/>
    <w:rsid w:val="00C8604E"/>
    <w:rsid w:val="00C86E77"/>
    <w:rsid w:val="00C8748E"/>
    <w:rsid w:val="00C92B8B"/>
    <w:rsid w:val="00C9429A"/>
    <w:rsid w:val="00C96D41"/>
    <w:rsid w:val="00CA0ED3"/>
    <w:rsid w:val="00CA53EA"/>
    <w:rsid w:val="00CB122E"/>
    <w:rsid w:val="00CB181E"/>
    <w:rsid w:val="00CB299A"/>
    <w:rsid w:val="00CB316D"/>
    <w:rsid w:val="00CB5BC1"/>
    <w:rsid w:val="00CC2A4E"/>
    <w:rsid w:val="00CC50A8"/>
    <w:rsid w:val="00CD15CB"/>
    <w:rsid w:val="00CD17BC"/>
    <w:rsid w:val="00CD225D"/>
    <w:rsid w:val="00CD24E2"/>
    <w:rsid w:val="00CD2749"/>
    <w:rsid w:val="00CD3E97"/>
    <w:rsid w:val="00CD532A"/>
    <w:rsid w:val="00CD63AC"/>
    <w:rsid w:val="00CD6731"/>
    <w:rsid w:val="00CD6FA7"/>
    <w:rsid w:val="00CD7DA6"/>
    <w:rsid w:val="00CE01E8"/>
    <w:rsid w:val="00CE173A"/>
    <w:rsid w:val="00CE1921"/>
    <w:rsid w:val="00CE273A"/>
    <w:rsid w:val="00CE344D"/>
    <w:rsid w:val="00CE42F8"/>
    <w:rsid w:val="00CE505F"/>
    <w:rsid w:val="00CE6AA3"/>
    <w:rsid w:val="00CE6EFA"/>
    <w:rsid w:val="00CF0E93"/>
    <w:rsid w:val="00CF1696"/>
    <w:rsid w:val="00CF5D21"/>
    <w:rsid w:val="00CF73BC"/>
    <w:rsid w:val="00D000D3"/>
    <w:rsid w:val="00D0315E"/>
    <w:rsid w:val="00D055F9"/>
    <w:rsid w:val="00D109F8"/>
    <w:rsid w:val="00D1324F"/>
    <w:rsid w:val="00D141C3"/>
    <w:rsid w:val="00D15086"/>
    <w:rsid w:val="00D16E8D"/>
    <w:rsid w:val="00D26733"/>
    <w:rsid w:val="00D30934"/>
    <w:rsid w:val="00D3270E"/>
    <w:rsid w:val="00D33457"/>
    <w:rsid w:val="00D33BA1"/>
    <w:rsid w:val="00D40B2F"/>
    <w:rsid w:val="00D41755"/>
    <w:rsid w:val="00D420E6"/>
    <w:rsid w:val="00D471DC"/>
    <w:rsid w:val="00D552A6"/>
    <w:rsid w:val="00D56362"/>
    <w:rsid w:val="00D60366"/>
    <w:rsid w:val="00D60998"/>
    <w:rsid w:val="00D62853"/>
    <w:rsid w:val="00D62FD1"/>
    <w:rsid w:val="00D640D3"/>
    <w:rsid w:val="00D700B1"/>
    <w:rsid w:val="00D7608C"/>
    <w:rsid w:val="00D769B1"/>
    <w:rsid w:val="00D774BE"/>
    <w:rsid w:val="00D77E40"/>
    <w:rsid w:val="00D80298"/>
    <w:rsid w:val="00D81294"/>
    <w:rsid w:val="00D816BF"/>
    <w:rsid w:val="00D83193"/>
    <w:rsid w:val="00D86639"/>
    <w:rsid w:val="00D91F51"/>
    <w:rsid w:val="00D92F59"/>
    <w:rsid w:val="00D960B9"/>
    <w:rsid w:val="00D96E94"/>
    <w:rsid w:val="00DA1A02"/>
    <w:rsid w:val="00DA223A"/>
    <w:rsid w:val="00DA2289"/>
    <w:rsid w:val="00DA48FE"/>
    <w:rsid w:val="00DA4BAD"/>
    <w:rsid w:val="00DA4F7A"/>
    <w:rsid w:val="00DA5A62"/>
    <w:rsid w:val="00DA70EB"/>
    <w:rsid w:val="00DA7B13"/>
    <w:rsid w:val="00DB4002"/>
    <w:rsid w:val="00DB5559"/>
    <w:rsid w:val="00DB5B6D"/>
    <w:rsid w:val="00DB6F24"/>
    <w:rsid w:val="00DC74B6"/>
    <w:rsid w:val="00DC74C3"/>
    <w:rsid w:val="00DD2970"/>
    <w:rsid w:val="00DD37BF"/>
    <w:rsid w:val="00DD3AA1"/>
    <w:rsid w:val="00DD43A6"/>
    <w:rsid w:val="00DD48A9"/>
    <w:rsid w:val="00DD6023"/>
    <w:rsid w:val="00DD6FF6"/>
    <w:rsid w:val="00DE4D97"/>
    <w:rsid w:val="00DE693B"/>
    <w:rsid w:val="00DF057C"/>
    <w:rsid w:val="00DF1100"/>
    <w:rsid w:val="00DF13E7"/>
    <w:rsid w:val="00DF221F"/>
    <w:rsid w:val="00DF2C64"/>
    <w:rsid w:val="00DF3D59"/>
    <w:rsid w:val="00DF41C0"/>
    <w:rsid w:val="00DF5C46"/>
    <w:rsid w:val="00DF6EBA"/>
    <w:rsid w:val="00E0018F"/>
    <w:rsid w:val="00E008CB"/>
    <w:rsid w:val="00E00BAB"/>
    <w:rsid w:val="00E02E11"/>
    <w:rsid w:val="00E12395"/>
    <w:rsid w:val="00E154AC"/>
    <w:rsid w:val="00E15514"/>
    <w:rsid w:val="00E179C1"/>
    <w:rsid w:val="00E209D8"/>
    <w:rsid w:val="00E21A34"/>
    <w:rsid w:val="00E22684"/>
    <w:rsid w:val="00E22A43"/>
    <w:rsid w:val="00E23E4D"/>
    <w:rsid w:val="00E24941"/>
    <w:rsid w:val="00E279D5"/>
    <w:rsid w:val="00E27AD1"/>
    <w:rsid w:val="00E32B42"/>
    <w:rsid w:val="00E32FD1"/>
    <w:rsid w:val="00E35242"/>
    <w:rsid w:val="00E36132"/>
    <w:rsid w:val="00E361D9"/>
    <w:rsid w:val="00E37838"/>
    <w:rsid w:val="00E3787C"/>
    <w:rsid w:val="00E4091A"/>
    <w:rsid w:val="00E426D5"/>
    <w:rsid w:val="00E45122"/>
    <w:rsid w:val="00E45CB4"/>
    <w:rsid w:val="00E50BBE"/>
    <w:rsid w:val="00E50EBD"/>
    <w:rsid w:val="00E51149"/>
    <w:rsid w:val="00E5163C"/>
    <w:rsid w:val="00E54E31"/>
    <w:rsid w:val="00E562B7"/>
    <w:rsid w:val="00E5703A"/>
    <w:rsid w:val="00E5748B"/>
    <w:rsid w:val="00E60B13"/>
    <w:rsid w:val="00E63891"/>
    <w:rsid w:val="00E63B60"/>
    <w:rsid w:val="00E63E52"/>
    <w:rsid w:val="00E64ED5"/>
    <w:rsid w:val="00E70586"/>
    <w:rsid w:val="00E7164B"/>
    <w:rsid w:val="00E71A22"/>
    <w:rsid w:val="00E72C93"/>
    <w:rsid w:val="00E76510"/>
    <w:rsid w:val="00E7755F"/>
    <w:rsid w:val="00E80A47"/>
    <w:rsid w:val="00E81F26"/>
    <w:rsid w:val="00E8357F"/>
    <w:rsid w:val="00E83957"/>
    <w:rsid w:val="00E855C1"/>
    <w:rsid w:val="00E8615E"/>
    <w:rsid w:val="00E86933"/>
    <w:rsid w:val="00E86940"/>
    <w:rsid w:val="00E913EE"/>
    <w:rsid w:val="00E92667"/>
    <w:rsid w:val="00E93627"/>
    <w:rsid w:val="00E95136"/>
    <w:rsid w:val="00E96E1C"/>
    <w:rsid w:val="00EA7234"/>
    <w:rsid w:val="00EA74C7"/>
    <w:rsid w:val="00EB324C"/>
    <w:rsid w:val="00EB3279"/>
    <w:rsid w:val="00EB4C14"/>
    <w:rsid w:val="00EB6EE5"/>
    <w:rsid w:val="00EB7381"/>
    <w:rsid w:val="00EC0BB0"/>
    <w:rsid w:val="00EC3153"/>
    <w:rsid w:val="00EC3564"/>
    <w:rsid w:val="00ED247C"/>
    <w:rsid w:val="00ED593E"/>
    <w:rsid w:val="00ED5F43"/>
    <w:rsid w:val="00EE1D5B"/>
    <w:rsid w:val="00EE5532"/>
    <w:rsid w:val="00EE62FA"/>
    <w:rsid w:val="00EE65F0"/>
    <w:rsid w:val="00EE65FA"/>
    <w:rsid w:val="00EE7C32"/>
    <w:rsid w:val="00EF1747"/>
    <w:rsid w:val="00EF49D4"/>
    <w:rsid w:val="00F00666"/>
    <w:rsid w:val="00F00D1F"/>
    <w:rsid w:val="00F02130"/>
    <w:rsid w:val="00F03001"/>
    <w:rsid w:val="00F031CA"/>
    <w:rsid w:val="00F03D12"/>
    <w:rsid w:val="00F07405"/>
    <w:rsid w:val="00F07917"/>
    <w:rsid w:val="00F11EE8"/>
    <w:rsid w:val="00F14BE6"/>
    <w:rsid w:val="00F15B14"/>
    <w:rsid w:val="00F16493"/>
    <w:rsid w:val="00F17D52"/>
    <w:rsid w:val="00F208E7"/>
    <w:rsid w:val="00F24440"/>
    <w:rsid w:val="00F25AC0"/>
    <w:rsid w:val="00F27BC9"/>
    <w:rsid w:val="00F3301F"/>
    <w:rsid w:val="00F34FE4"/>
    <w:rsid w:val="00F371C9"/>
    <w:rsid w:val="00F37BCC"/>
    <w:rsid w:val="00F45338"/>
    <w:rsid w:val="00F460BA"/>
    <w:rsid w:val="00F46100"/>
    <w:rsid w:val="00F53463"/>
    <w:rsid w:val="00F54504"/>
    <w:rsid w:val="00F54642"/>
    <w:rsid w:val="00F56349"/>
    <w:rsid w:val="00F569C4"/>
    <w:rsid w:val="00F57BF3"/>
    <w:rsid w:val="00F60884"/>
    <w:rsid w:val="00F64AFA"/>
    <w:rsid w:val="00F650AA"/>
    <w:rsid w:val="00F67C79"/>
    <w:rsid w:val="00F70BE9"/>
    <w:rsid w:val="00F719AD"/>
    <w:rsid w:val="00F72B68"/>
    <w:rsid w:val="00F73F6B"/>
    <w:rsid w:val="00F741D1"/>
    <w:rsid w:val="00F7775E"/>
    <w:rsid w:val="00F77800"/>
    <w:rsid w:val="00F8263D"/>
    <w:rsid w:val="00F83FA0"/>
    <w:rsid w:val="00F84FE0"/>
    <w:rsid w:val="00F8617B"/>
    <w:rsid w:val="00F86495"/>
    <w:rsid w:val="00F904A9"/>
    <w:rsid w:val="00F91D91"/>
    <w:rsid w:val="00F91F1C"/>
    <w:rsid w:val="00F93997"/>
    <w:rsid w:val="00F97A94"/>
    <w:rsid w:val="00FA194E"/>
    <w:rsid w:val="00FA33E4"/>
    <w:rsid w:val="00FA4153"/>
    <w:rsid w:val="00FA4E18"/>
    <w:rsid w:val="00FA5122"/>
    <w:rsid w:val="00FA670F"/>
    <w:rsid w:val="00FA74BC"/>
    <w:rsid w:val="00FA7947"/>
    <w:rsid w:val="00FB092A"/>
    <w:rsid w:val="00FB4190"/>
    <w:rsid w:val="00FB68CA"/>
    <w:rsid w:val="00FC22AC"/>
    <w:rsid w:val="00FC45D9"/>
    <w:rsid w:val="00FC6B43"/>
    <w:rsid w:val="00FC7EBF"/>
    <w:rsid w:val="00FD1A14"/>
    <w:rsid w:val="00FD20DD"/>
    <w:rsid w:val="00FD379F"/>
    <w:rsid w:val="00FD7C80"/>
    <w:rsid w:val="00FE117D"/>
    <w:rsid w:val="00FE2383"/>
    <w:rsid w:val="00FE3AE4"/>
    <w:rsid w:val="00FE794E"/>
    <w:rsid w:val="00FE7F43"/>
    <w:rsid w:val="00FF0E79"/>
    <w:rsid w:val="00FF4F05"/>
    <w:rsid w:val="00FF5D3D"/>
    <w:rsid w:val="0B995043"/>
    <w:rsid w:val="0BAD76AD"/>
    <w:rsid w:val="17F056FB"/>
    <w:rsid w:val="1D7344DC"/>
    <w:rsid w:val="237005AA"/>
    <w:rsid w:val="25241E6C"/>
    <w:rsid w:val="25444B66"/>
    <w:rsid w:val="25545956"/>
    <w:rsid w:val="25ED0B39"/>
    <w:rsid w:val="2EF9223C"/>
    <w:rsid w:val="311070DC"/>
    <w:rsid w:val="31EC5663"/>
    <w:rsid w:val="37AD5E2C"/>
    <w:rsid w:val="3A9F4DAF"/>
    <w:rsid w:val="3C027F50"/>
    <w:rsid w:val="400F2548"/>
    <w:rsid w:val="44F17DB5"/>
    <w:rsid w:val="46A8514C"/>
    <w:rsid w:val="4AE30E31"/>
    <w:rsid w:val="521E2164"/>
    <w:rsid w:val="53DD1147"/>
    <w:rsid w:val="591935E3"/>
    <w:rsid w:val="5A1C493C"/>
    <w:rsid w:val="5B4403BB"/>
    <w:rsid w:val="67731B43"/>
    <w:rsid w:val="684D1CB0"/>
    <w:rsid w:val="6E6138F7"/>
    <w:rsid w:val="75F91AD0"/>
    <w:rsid w:val="7C2B3C5E"/>
    <w:rsid w:val="7CD5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标题 2 字符"/>
    <w:basedOn w:val="7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2">
    <w:name w:val="font11"/>
    <w:basedOn w:val="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3">
    <w:name w:val="font4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51"/>
    <w:basedOn w:val="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15">
    <w:name w:val="font21"/>
    <w:basedOn w:val="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6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01"/>
    <w:basedOn w:val="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8">
    <w:name w:val="font61"/>
    <w:basedOn w:val="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F0355-2736-4884-AD5D-03A6C75395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3528</Words>
  <Characters>7392</Characters>
  <Lines>63</Lines>
  <Paragraphs>17</Paragraphs>
  <TotalTime>17</TotalTime>
  <ScaleCrop>false</ScaleCrop>
  <LinksUpToDate>false</LinksUpToDate>
  <CharactersWithSpaces>8280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2019-06-10T09:40:00Z</dcterms:created>
  <dc:creator>Administrator</dc:creator>
  <cp:lastModifiedBy>王成</cp:lastModifiedBy>
  <cp:lastPrinted>2018-08-26T02:37:00Z</cp:lastPrinted>
  <dcterms:modified xsi:type="dcterms:W3CDTF">2023-07-05T12:53:22Z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1FDB6A678FB4438C99E4360F271F9CEB</vt:lpwstr>
  </property>
</Properties>
</file>